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F3797" w14:textId="77777777" w:rsidR="00FF37C1" w:rsidRDefault="00FF37C1" w:rsidP="00FF37C1">
      <w:pPr>
        <w:jc w:val="both"/>
        <w:rPr>
          <w:rFonts w:ascii="Arial" w:eastAsia="Calibri" w:hAnsi="Arial" w:cs="Arial"/>
          <w:b/>
          <w:bCs/>
          <w:color w:val="CC0000"/>
          <w:sz w:val="24"/>
          <w:szCs w:val="24"/>
          <w:lang w:val="en-US"/>
        </w:rPr>
      </w:pPr>
    </w:p>
    <w:p w14:paraId="37845296" w14:textId="35049516" w:rsidR="00DF147D" w:rsidRDefault="00000000" w:rsidP="00FF37C1">
      <w:pPr>
        <w:jc w:val="center"/>
        <w:rPr>
          <w:rFonts w:ascii="Arial" w:eastAsia="Calibri" w:hAnsi="Arial" w:cs="Arial"/>
          <w:b/>
          <w:bCs/>
          <w:color w:val="CC0000"/>
          <w:sz w:val="24"/>
          <w:szCs w:val="24"/>
          <w:lang w:val="en-US"/>
        </w:rPr>
      </w:pPr>
      <w:r>
        <w:rPr>
          <w:rFonts w:ascii="Arial" w:eastAsia="Calibri" w:hAnsi="Arial" w:cs="Arial"/>
          <w:b/>
          <w:bCs/>
          <w:color w:val="CC0000"/>
          <w:sz w:val="24"/>
          <w:szCs w:val="24"/>
          <w:lang w:val="en-US"/>
        </w:rPr>
        <w:t>■</w:t>
      </w:r>
      <w:r>
        <w:rPr>
          <w:rFonts w:ascii="Abadi" w:eastAsia="Calibri" w:hAnsi="Abadi" w:cs="Calibri"/>
          <w:b/>
          <w:bCs/>
          <w:color w:val="CC0000"/>
          <w:sz w:val="24"/>
          <w:szCs w:val="24"/>
          <w:lang w:val="en-US"/>
        </w:rPr>
        <w:t xml:space="preserve">  Document based on declassified informati</w:t>
      </w:r>
      <w:r>
        <w:rPr>
          <w:rFonts w:ascii="Abadi" w:eastAsia="Calibri" w:hAnsi="Abadi" w:cs="Abadi"/>
          <w:b/>
          <w:bCs/>
          <w:color w:val="CC0000"/>
          <w:sz w:val="24"/>
          <w:szCs w:val="24"/>
          <w:lang w:val="en-US"/>
        </w:rPr>
        <w:t/>
      </w:r>
      <w:r>
        <w:rPr>
          <w:rFonts w:ascii="Abadi" w:eastAsia="Calibri" w:hAnsi="Abadi" w:cs="Calibri"/>
          <w:b/>
          <w:bCs/>
          <w:color w:val="CC0000"/>
          <w:sz w:val="24"/>
          <w:szCs w:val="24"/>
          <w:lang w:val="en-US"/>
        </w:rPr>
        <w:t xml:space="preserve">on  </w:t>
      </w:r>
      <w:r>
        <w:rPr>
          <w:rFonts w:ascii="Arial" w:eastAsia="Calibri" w:hAnsi="Arial" w:cs="Arial"/>
          <w:b/>
          <w:bCs/>
          <w:color w:val="CC0000"/>
          <w:sz w:val="24"/>
          <w:szCs w:val="24"/>
          <w:lang w:val="en-US"/>
        </w:rPr>
        <w:t>■</w:t>
      </w:r>
    </w:p>
    <w:p w14:paraId="1489C98E" w14:textId="2573E942" w:rsidR="00FF37C1" w:rsidRDefault="00FF37C1" w:rsidP="00FF37C1">
      <w:pPr>
        <w:rPr>
          <w:rFonts w:ascii="Arial" w:eastAsia="Calibri" w:hAnsi="Arial" w:cs="Arial"/>
          <w:b/>
          <w:bCs/>
          <w:color w:val="CC0000"/>
          <w:sz w:val="24"/>
          <w:szCs w:val="24"/>
          <w:lang w:val="en-US"/>
        </w:rPr>
      </w:pPr>
    </w:p>
    <w:p w14:paraId="54458013" w14:textId="6AC84272" w:rsidR="00FF37C1" w:rsidRDefault="00FF37C1" w:rsidP="00FF37C1">
      <w:pPr>
        <w:jc w:val="center"/>
        <w:rPr>
          <w:rFonts w:ascii="Arial" w:eastAsia="Calibri" w:hAnsi="Arial" w:cs="Arial"/>
          <w:b/>
          <w:bCs/>
          <w:color w:val="CC0000"/>
          <w:sz w:val="24"/>
          <w:szCs w:val="24"/>
          <w:lang w:val="en-US"/>
        </w:rPr>
      </w:pPr>
      <w:r>
        <w:rPr>
          <w:rFonts w:ascii="Arial" w:eastAsia="Calibri" w:hAnsi="Arial" w:cs="Arial"/>
          <w:b/>
          <w:bCs/>
          <w:noProof/>
          <w:color w:val="CC0000"/>
          <w:sz w:val="24"/>
          <w:szCs w:val="24"/>
          <w:lang w:val="en-US"/>
        </w:rPr>
        <w:drawing>
          <wp:anchor distT="0" distB="0" distL="114300" distR="114300" simplePos="0" relativeHeight="251658240" behindDoc="1" locked="0" layoutInCell="1" allowOverlap="1" wp14:anchorId="425547A5" wp14:editId="4D1FF359">
            <wp:simplePos x="0" y="0"/>
            <wp:positionH relativeFrom="column">
              <wp:posOffset>2491740</wp:posOffset>
            </wp:positionH>
            <wp:positionV relativeFrom="paragraph">
              <wp:posOffset>7620</wp:posOffset>
            </wp:positionV>
            <wp:extent cx="1335405" cy="1335405"/>
            <wp:effectExtent l="0" t="0" r="0" b="0"/>
            <wp:wrapTight wrapText="bothSides">
              <wp:wrapPolygon edited="0">
                <wp:start x="0" y="0"/>
                <wp:lineTo x="0" y="21261"/>
                <wp:lineTo x="21261" y="21261"/>
                <wp:lineTo x="21261" y="0"/>
                <wp:lineTo x="0" y="0"/>
              </wp:wrapPolygon>
            </wp:wrapTight>
            <wp:docPr id="577657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5405" cy="1335405"/>
                    </a:xfrm>
                    <a:prstGeom prst="rect">
                      <a:avLst/>
                    </a:prstGeom>
                    <a:noFill/>
                  </pic:spPr>
                </pic:pic>
              </a:graphicData>
            </a:graphic>
            <wp14:sizeRelH relativeFrom="page">
              <wp14:pctWidth>0</wp14:pctWidth>
            </wp14:sizeRelH>
            <wp14:sizeRelV relativeFrom="page">
              <wp14:pctHeight>0</wp14:pctHeight>
            </wp14:sizeRelV>
          </wp:anchor>
        </w:drawing>
      </w:r>
    </w:p>
    <w:p w14:paraId="417C709D" w14:textId="77777777" w:rsidR="00FF37C1" w:rsidRDefault="00FF37C1" w:rsidP="00FF37C1">
      <w:pPr>
        <w:jc w:val="center"/>
        <w:rPr>
          <w:rFonts w:ascii="Arial" w:eastAsia="Calibri" w:hAnsi="Arial" w:cs="Arial"/>
          <w:b/>
          <w:bCs/>
          <w:color w:val="CC0000"/>
          <w:sz w:val="24"/>
          <w:szCs w:val="24"/>
          <w:lang w:val="en-US"/>
        </w:rPr>
      </w:pPr>
    </w:p>
    <w:p w14:paraId="372311E2" w14:textId="77777777" w:rsidR="00FF37C1" w:rsidRDefault="00FF37C1" w:rsidP="00FF37C1">
      <w:pPr>
        <w:jc w:val="center"/>
        <w:rPr>
          <w:rFonts w:ascii="Arial" w:eastAsia="Calibri" w:hAnsi="Arial" w:cs="Arial"/>
          <w:b/>
          <w:bCs/>
          <w:color w:val="CC0000"/>
          <w:sz w:val="24"/>
          <w:szCs w:val="24"/>
          <w:lang w:val="en-US"/>
        </w:rPr>
      </w:pPr>
    </w:p>
    <w:p w14:paraId="478861CD" w14:textId="77777777" w:rsidR="00FF37C1" w:rsidRDefault="00FF37C1" w:rsidP="00FF37C1">
      <w:pPr>
        <w:jc w:val="center"/>
        <w:rPr>
          <w:rFonts w:ascii="Arial" w:eastAsia="Calibri" w:hAnsi="Arial" w:cs="Arial"/>
          <w:b/>
          <w:bCs/>
          <w:color w:val="CC0000"/>
          <w:sz w:val="24"/>
          <w:szCs w:val="24"/>
          <w:lang w:val="en-US"/>
        </w:rPr>
      </w:pPr>
    </w:p>
    <w:p w14:paraId="292D6E8A" w14:textId="77777777" w:rsidR="00FF37C1" w:rsidRDefault="00FF37C1" w:rsidP="00FF37C1">
      <w:pPr>
        <w:jc w:val="center"/>
        <w:rPr>
          <w:rFonts w:ascii="Arial" w:eastAsia="Calibri" w:hAnsi="Arial" w:cs="Arial"/>
          <w:b/>
          <w:bCs/>
          <w:color w:val="CC0000"/>
          <w:sz w:val="24"/>
          <w:szCs w:val="24"/>
          <w:lang w:val="en-US"/>
        </w:rPr>
      </w:pPr>
    </w:p>
    <w:p w14:paraId="5F20C416" w14:textId="77777777" w:rsidR="00FF37C1" w:rsidRDefault="00FF37C1" w:rsidP="00FF37C1">
      <w:pPr>
        <w:jc w:val="center"/>
        <w:rPr>
          <w:rFonts w:ascii="Arial" w:eastAsia="Calibri" w:hAnsi="Arial" w:cs="Arial"/>
          <w:b/>
          <w:bCs/>
          <w:color w:val="CC0000"/>
          <w:sz w:val="24"/>
          <w:szCs w:val="24"/>
          <w:lang w:val="en-US"/>
        </w:rPr>
      </w:pPr>
    </w:p>
    <w:p w14:paraId="771AC254" w14:textId="77777777" w:rsidR="00FF37C1" w:rsidRDefault="00FF37C1" w:rsidP="00FF37C1">
      <w:pPr>
        <w:jc w:val="center"/>
        <w:rPr>
          <w:rFonts w:ascii="Arial" w:eastAsia="Calibri" w:hAnsi="Arial" w:cs="Arial"/>
          <w:b/>
          <w:bCs/>
          <w:color w:val="CC0000"/>
          <w:sz w:val="24"/>
          <w:szCs w:val="24"/>
          <w:lang w:val="en-US"/>
        </w:rPr>
      </w:pPr>
    </w:p>
    <w:p w14:paraId="3125E8A9" w14:textId="77777777" w:rsidR="00FF37C1" w:rsidRDefault="00FF37C1" w:rsidP="00FF37C1">
      <w:pPr>
        <w:rPr>
          <w:rFonts w:ascii="Arial" w:eastAsia="Calibri" w:hAnsi="Arial" w:cs="Arial"/>
          <w:b/>
          <w:bCs/>
          <w:color w:val="CC0000"/>
          <w:sz w:val="24"/>
          <w:szCs w:val="24"/>
          <w:lang w:val="en-US"/>
        </w:rPr>
      </w:pPr>
    </w:p>
    <w:p w14:paraId="4BF58441" w14:textId="77777777" w:rsidR="00FF37C1" w:rsidRDefault="00FF37C1" w:rsidP="00FF37C1">
      <w:pPr>
        <w:jc w:val="center"/>
        <w:rPr>
          <w:rFonts w:ascii="Arial" w:eastAsia="Calibri" w:hAnsi="Arial" w:cs="Arial"/>
          <w:b/>
          <w:bCs/>
          <w:color w:val="CC0000"/>
          <w:sz w:val="24"/>
          <w:szCs w:val="24"/>
          <w:lang w:val="en-US"/>
        </w:rPr>
      </w:pPr>
    </w:p>
    <w:p w14:paraId="1ED0C818" w14:textId="77777777" w:rsidR="00FF37C1" w:rsidRPr="009A334C" w:rsidRDefault="00FF37C1" w:rsidP="00FF37C1">
      <w:pPr>
        <w:spacing w:after="80"/>
        <w:jc w:val="center"/>
        <w:rPr>
          <w:rFonts w:ascii="Abadi" w:hAnsi="Abadi"/>
          <w:sz w:val="24"/>
          <w:szCs w:val="24"/>
        </w:rPr>
      </w:pPr>
      <w:r>
        <w:rPr>
          <w:rFonts w:ascii="Abadi" w:hAnsi="Abadi"/>
          <w:b/>
          <w:bCs/>
          <w:smallCaps/>
          <w:color w:val="0B1F3A"/>
          <w:sz w:val="24"/>
          <w:szCs w:val="24"/>
        </w:rPr>
        <w:t>ADVISORS AND IMPLEMENTERS OF</w:t>
      </w:r>
    </w:p>
    <w:p w14:paraId="4A98FE3C" w14:textId="77777777" w:rsidR="00FF37C1" w:rsidRPr="009A334C" w:rsidRDefault="00FF37C1" w:rsidP="00FF37C1">
      <w:pPr>
        <w:spacing w:after="320"/>
        <w:jc w:val="center"/>
        <w:rPr>
          <w:rFonts w:ascii="Abadi" w:hAnsi="Abadi"/>
          <w:sz w:val="24"/>
          <w:szCs w:val="24"/>
        </w:rPr>
      </w:pPr>
      <w:r>
        <w:rPr>
          <w:rFonts w:ascii="Abadi" w:hAnsi="Abadi"/>
          <w:b/>
          <w:bCs/>
          <w:smallCaps/>
          <w:color w:val="B8962E"/>
          <w:sz w:val="24"/>
          <w:szCs w:val="24"/>
        </w:rPr>
        <w:t>SOLUTIONS AGAINST RISKS AND THREATS</w:t>
      </w:r>
    </w:p>
    <w:p w14:paraId="30F522E4" w14:textId="77777777" w:rsidR="00DF147D" w:rsidRPr="00FF37C1" w:rsidRDefault="00DF147D" w:rsidP="00FF37C1">
      <w:pPr>
        <w:jc w:val="both"/>
        <w:rPr>
          <w:rFonts w:ascii="Abadi" w:hAnsi="Abadi"/>
          <w:sz w:val="24"/>
          <w:szCs w:val="24"/>
        </w:rPr>
      </w:pPr>
    </w:p>
    <w:p w14:paraId="47486483" w14:textId="77777777" w:rsidR="00DF147D" w:rsidRPr="00AA2B3C" w:rsidRDefault="00000000" w:rsidP="00AA2B3C">
      <w:pPr>
        <w:jc w:val="center"/>
        <w:rPr>
          <w:rFonts w:ascii="Abadi" w:eastAsia="Calibri" w:hAnsi="Abadi" w:cs="Calibri"/>
          <w:b/>
          <w:bCs/>
          <w:caps/>
          <w:color w:val="1A1A1A"/>
          <w:sz w:val="48"/>
          <w:szCs w:val="48"/>
          <w:lang w:val="en-US"/>
        </w:rPr>
      </w:pPr>
      <w:r>
        <w:rPr>
          <w:rFonts w:ascii="Abadi" w:eastAsia="Calibri" w:hAnsi="Abadi" w:cs="Calibri"/>
          <w:b/>
          <w:bCs/>
          <w:caps/>
          <w:color w:val="1A1A1A"/>
          <w:sz w:val="48"/>
          <w:szCs w:val="48"/>
          <w:lang w:val="en-US"/>
        </w:rPr>
        <w:t>INTELLIGENCE BRIEFING</w:t>
      </w:r>
    </w:p>
    <w:p w14:paraId="664B0CA8" w14:textId="77777777" w:rsidR="00AA2B3C" w:rsidRDefault="00AA2B3C" w:rsidP="00AA2B3C">
      <w:pPr>
        <w:rPr>
          <w:rFonts w:ascii="Abadi" w:eastAsia="Calibri" w:hAnsi="Abadi" w:cs="Calibri"/>
          <w:b/>
          <w:bCs/>
          <w:caps/>
          <w:sz w:val="24"/>
          <w:szCs w:val="24"/>
          <w:lang w:val="en-US"/>
        </w:rPr>
      </w:pPr>
    </w:p>
    <w:p w14:paraId="4C87D5B4" w14:textId="77777777" w:rsidR="00AA2B3C" w:rsidRDefault="00AA2B3C" w:rsidP="00FF37C1">
      <w:pPr>
        <w:jc w:val="center"/>
        <w:rPr>
          <w:rFonts w:ascii="Abadi" w:eastAsia="Calibri" w:hAnsi="Abadi" w:cs="Calibri"/>
          <w:b/>
          <w:bCs/>
          <w:caps/>
          <w:sz w:val="24"/>
          <w:szCs w:val="24"/>
          <w:lang w:val="en-US"/>
        </w:rPr>
      </w:pPr>
    </w:p>
    <w:p w14:paraId="455C0FA1" w14:textId="77777777" w:rsidR="00AA2B3C" w:rsidRDefault="00000000" w:rsidP="00FF37C1">
      <w:pPr>
        <w:jc w:val="center"/>
        <w:rPr>
          <w:rFonts w:ascii="Abadi" w:eastAsia="Calibri" w:hAnsi="Abadi" w:cs="Calibri"/>
          <w:b/>
          <w:bCs/>
          <w:caps/>
          <w:color w:val="EE0000"/>
          <w:sz w:val="36"/>
          <w:szCs w:val="36"/>
          <w:lang w:val="en-US"/>
        </w:rPr>
      </w:pPr>
      <w:r>
        <w:rPr>
          <w:rFonts w:ascii="Abadi" w:eastAsia="Calibri" w:hAnsi="Abadi" w:cs="Calibri"/>
          <w:b/>
          <w:bCs/>
          <w:caps/>
          <w:color w:val="EE0000"/>
          <w:sz w:val="36"/>
          <w:szCs w:val="36"/>
          <w:lang w:val="en-US"/>
        </w:rPr>
        <w:t xml:space="preserve">VENEZUELA: COMPREHENSIVE STRATEGIC SITUATION ENERGY, ECONOMY, POLITICAL TRANSITION  </w:t>
      </w:r>
    </w:p>
    <w:p w14:paraId="50BE1CC1" w14:textId="4F889229" w:rsidR="00DF147D" w:rsidRPr="00AA2B3C" w:rsidRDefault="00000000" w:rsidP="00FF37C1">
      <w:pPr>
        <w:jc w:val="center"/>
        <w:rPr>
          <w:rFonts w:ascii="Abadi" w:hAnsi="Abadi"/>
          <w:color w:val="EE0000"/>
          <w:sz w:val="36"/>
          <w:szCs w:val="36"/>
          <w:lang w:val="en-US"/>
        </w:rPr>
      </w:pPr>
      <w:r>
        <w:rPr>
          <w:rFonts w:ascii="Abadi" w:eastAsia="Calibri" w:hAnsi="Abadi" w:cs="Calibri"/>
          <w:b/>
          <w:bCs/>
          <w:caps/>
          <w:color w:val="EE0000"/>
          <w:sz w:val="36"/>
          <w:szCs w:val="36"/>
          <w:lang w:val="en-US"/>
        </w:rPr>
        <w:t>AND INVESTMENT RISK</w:t>
      </w:r>
    </w:p>
    <w:p w14:paraId="0C65B9F3" w14:textId="77777777" w:rsidR="00FF37C1" w:rsidRDefault="00FF37C1" w:rsidP="00FF37C1">
      <w:pPr>
        <w:jc w:val="center"/>
        <w:rPr>
          <w:rFonts w:ascii="Abadi" w:hAnsi="Abadi"/>
          <w:sz w:val="24"/>
          <w:szCs w:val="24"/>
          <w:lang w:val="en-US"/>
        </w:rPr>
      </w:pPr>
    </w:p>
    <w:p w14:paraId="372CC423" w14:textId="77777777" w:rsidR="00AA2B3C" w:rsidRDefault="00AA2B3C" w:rsidP="00FF37C1">
      <w:pPr>
        <w:jc w:val="center"/>
        <w:rPr>
          <w:rFonts w:ascii="Abadi" w:hAnsi="Abadi"/>
          <w:sz w:val="24"/>
          <w:szCs w:val="24"/>
          <w:lang w:val="en-US"/>
        </w:rPr>
      </w:pPr>
    </w:p>
    <w:p w14:paraId="3A865C1D" w14:textId="77777777" w:rsidR="00AA2B3C" w:rsidRPr="00FF37C1" w:rsidRDefault="00AA2B3C" w:rsidP="00FF37C1">
      <w:pPr>
        <w:jc w:val="center"/>
        <w:rPr>
          <w:rFonts w:ascii="Abadi" w:hAnsi="Abadi"/>
          <w:sz w:val="24"/>
          <w:szCs w:val="24"/>
          <w:lang w:val="en-US"/>
        </w:rPr>
      </w:pPr>
    </w:p>
    <w:tbl>
      <w:tblPr>
        <w:tblW w:w="10170" w:type="dxa"/>
        <w:tblBorders>
          <w:top w:val="single" w:sz="4" w:space="0" w:color="999999"/>
          <w:left w:val="single" w:sz="4" w:space="0" w:color="999999"/>
          <w:bottom w:val="single" w:sz="4" w:space="0" w:color="999999"/>
          <w:right w:val="single" w:sz="4" w:space="0" w:color="999999"/>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99"/>
        <w:gridCol w:w="7771"/>
      </w:tblGrid>
      <w:tr w:rsidR="00DF147D" w:rsidRPr="00FF37C1" w14:paraId="61F8C2FE" w14:textId="77777777" w:rsidTr="00FF37C1">
        <w:tblPrEx>
          <w:tblCellMar>
            <w:top w:w="0" w:type="dxa"/>
            <w:bottom w:w="0" w:type="dxa"/>
          </w:tblCellMar>
        </w:tblPrEx>
        <w:tc>
          <w:tcPr>
            <w:tcW w:w="2399" w:type="dxa"/>
            <w:tcBorders>
              <w:top w:val="single" w:sz="4" w:space="0" w:color="999999"/>
              <w:left w:val="none" w:sz="0" w:space="0" w:color="FFFFFF"/>
              <w:bottom w:val="single" w:sz="4" w:space="0" w:color="999999"/>
              <w:right w:val="none" w:sz="0" w:space="0" w:color="FFFFFF"/>
            </w:tcBorders>
            <w:shd w:val="clear" w:color="auto" w:fill="E8EEF5"/>
            <w:tcMar>
              <w:top w:w="80" w:type="dxa"/>
              <w:left w:w="120" w:type="dxa"/>
              <w:bottom w:w="80" w:type="dxa"/>
              <w:right w:w="80" w:type="dxa"/>
            </w:tcMar>
          </w:tcPr>
          <w:p w14:paraId="28620416" w14:textId="77777777" w:rsidR="00DF147D" w:rsidRPr="00FF37C1" w:rsidRDefault="00000000" w:rsidP="00FF37C1">
            <w:pPr>
              <w:jc w:val="both"/>
              <w:rPr>
                <w:rFonts w:ascii="Abadi" w:hAnsi="Abadi"/>
                <w:sz w:val="22"/>
                <w:szCs w:val="22"/>
                <w:lang w:val="en-US"/>
              </w:rPr>
            </w:pPr>
            <w:r>
              <w:rPr>
                <w:rFonts w:ascii="Abadi" w:eastAsia="Calibri" w:hAnsi="Abadi" w:cs="Calibri"/>
                <w:b/>
                <w:bCs/>
                <w:color w:val="1A1A1A"/>
                <w:sz w:val="22"/>
                <w:szCs w:val="22"/>
                <w:lang w:val="en-US"/>
              </w:rPr>
              <w:t>Issue Date</w:t>
            </w:r>
          </w:p>
        </w:tc>
        <w:tc>
          <w:tcPr>
            <w:tcW w:w="7771" w:type="dxa"/>
            <w:tcBorders>
              <w:top w:val="single" w:sz="4" w:space="0" w:color="999999"/>
              <w:left w:val="none" w:sz="0" w:space="0" w:color="FFFFFF"/>
              <w:bottom w:val="single" w:sz="4" w:space="0" w:color="999999"/>
              <w:right w:val="none" w:sz="0" w:space="0" w:color="FFFFFF"/>
            </w:tcBorders>
            <w:shd w:val="clear" w:color="auto" w:fill="E8EEF5"/>
            <w:tcMar>
              <w:top w:w="80" w:type="dxa"/>
              <w:left w:w="120" w:type="dxa"/>
              <w:bottom w:w="80" w:type="dxa"/>
              <w:right w:w="80" w:type="dxa"/>
            </w:tcMar>
          </w:tcPr>
          <w:p w14:paraId="53439004" w14:textId="77777777" w:rsidR="00DF147D" w:rsidRPr="00FF37C1" w:rsidRDefault="00000000" w:rsidP="00FF37C1">
            <w:pPr>
              <w:jc w:val="both"/>
              <w:rPr>
                <w:rFonts w:ascii="Abadi" w:hAnsi="Abadi"/>
                <w:sz w:val="22"/>
                <w:szCs w:val="22"/>
                <w:lang w:val="en-US"/>
              </w:rPr>
            </w:pPr>
            <w:r>
              <w:rPr>
                <w:rFonts w:ascii="Abadi" w:eastAsia="Calibri" w:hAnsi="Abadi" w:cs="Calibri"/>
                <w:color w:val="1A1A1A"/>
                <w:sz w:val="22"/>
                <w:szCs w:val="22"/>
                <w:lang w:val="en-US"/>
              </w:rPr>
              <w:t>October 2026</w:t>
            </w:r>
          </w:p>
        </w:tc>
      </w:tr>
      <w:tr w:rsidR="00DF147D" w:rsidRPr="00FF37C1" w14:paraId="063B6342" w14:textId="77777777" w:rsidTr="00FF37C1">
        <w:tblPrEx>
          <w:tblCellMar>
            <w:top w:w="0" w:type="dxa"/>
            <w:bottom w:w="0" w:type="dxa"/>
          </w:tblCellMar>
        </w:tblPrEx>
        <w:tc>
          <w:tcPr>
            <w:tcW w:w="2399" w:type="dxa"/>
            <w:tcBorders>
              <w:top w:val="single" w:sz="4" w:space="0" w:color="999999"/>
              <w:left w:val="none" w:sz="0" w:space="0" w:color="FFFFFF"/>
              <w:bottom w:val="single" w:sz="4" w:space="0" w:color="999999"/>
              <w:right w:val="none" w:sz="0" w:space="0" w:color="FFFFFF"/>
            </w:tcBorders>
            <w:shd w:val="clear" w:color="auto" w:fill="F5F7FA"/>
            <w:tcMar>
              <w:top w:w="80" w:type="dxa"/>
              <w:left w:w="120" w:type="dxa"/>
              <w:bottom w:w="80" w:type="dxa"/>
              <w:right w:w="80" w:type="dxa"/>
            </w:tcMar>
          </w:tcPr>
          <w:p w14:paraId="1F5D6670" w14:textId="77777777" w:rsidR="00DF147D" w:rsidRPr="00FF37C1" w:rsidRDefault="00000000" w:rsidP="00FF37C1">
            <w:pPr>
              <w:jc w:val="both"/>
              <w:rPr>
                <w:rFonts w:ascii="Abadi" w:hAnsi="Abadi"/>
                <w:sz w:val="22"/>
                <w:szCs w:val="22"/>
                <w:lang w:val="en-US"/>
              </w:rPr>
            </w:pPr>
            <w:r>
              <w:rPr>
                <w:rFonts w:ascii="Abadi" w:eastAsia="Calibri" w:hAnsi="Abadi" w:cs="Calibri"/>
                <w:b/>
                <w:bCs/>
                <w:color w:val="1A1A1A"/>
                <w:sz w:val="22"/>
                <w:szCs w:val="22"/>
                <w:lang w:val="en-US"/>
              </w:rPr>
              <w:t>Analysis Period</w:t>
            </w:r>
          </w:p>
        </w:tc>
        <w:tc>
          <w:tcPr>
            <w:tcW w:w="7771" w:type="dxa"/>
            <w:tcBorders>
              <w:top w:val="single" w:sz="4" w:space="0" w:color="999999"/>
              <w:left w:val="none" w:sz="0" w:space="0" w:color="FFFFFF"/>
              <w:bottom w:val="single" w:sz="4" w:space="0" w:color="999999"/>
              <w:right w:val="none" w:sz="0" w:space="0" w:color="FFFFFF"/>
            </w:tcBorders>
            <w:shd w:val="clear" w:color="auto" w:fill="F5F7FA"/>
            <w:tcMar>
              <w:top w:w="80" w:type="dxa"/>
              <w:left w:w="120" w:type="dxa"/>
              <w:bottom w:w="80" w:type="dxa"/>
              <w:right w:w="80" w:type="dxa"/>
            </w:tcMar>
          </w:tcPr>
          <w:p w14:paraId="5D2F9A32" w14:textId="77777777" w:rsidR="00DF147D" w:rsidRPr="00FF37C1" w:rsidRDefault="00000000" w:rsidP="00FF37C1">
            <w:pPr>
              <w:jc w:val="both"/>
              <w:rPr>
                <w:rFonts w:ascii="Abadi" w:hAnsi="Abadi"/>
                <w:sz w:val="22"/>
                <w:szCs w:val="22"/>
                <w:lang w:val="en-US"/>
              </w:rPr>
            </w:pPr>
            <w:r>
              <w:rPr>
                <w:rFonts w:ascii="Abadi" w:eastAsia="Calibri" w:hAnsi="Abadi" w:cs="Calibri"/>
                <w:color w:val="1A1A1A"/>
                <w:sz w:val="22"/>
                <w:szCs w:val="22"/>
                <w:lang w:val="en-US"/>
              </w:rPr>
              <w:t>2024 – 2026</w:t>
            </w:r>
          </w:p>
        </w:tc>
      </w:tr>
      <w:tr w:rsidR="00DF147D" w:rsidRPr="00FF37C1" w14:paraId="296F09F4" w14:textId="77777777" w:rsidTr="00FF37C1">
        <w:tblPrEx>
          <w:tblCellMar>
            <w:top w:w="0" w:type="dxa"/>
            <w:bottom w:w="0" w:type="dxa"/>
          </w:tblCellMar>
        </w:tblPrEx>
        <w:tc>
          <w:tcPr>
            <w:tcW w:w="2399" w:type="dxa"/>
            <w:tcBorders>
              <w:top w:val="single" w:sz="4" w:space="0" w:color="999999"/>
              <w:left w:val="none" w:sz="0" w:space="0" w:color="FFFFFF"/>
              <w:bottom w:val="single" w:sz="4" w:space="0" w:color="999999"/>
              <w:right w:val="none" w:sz="0" w:space="0" w:color="FFFFFF"/>
            </w:tcBorders>
            <w:shd w:val="clear" w:color="auto" w:fill="E8EEF5"/>
            <w:tcMar>
              <w:top w:w="80" w:type="dxa"/>
              <w:left w:w="120" w:type="dxa"/>
              <w:bottom w:w="80" w:type="dxa"/>
              <w:right w:w="80" w:type="dxa"/>
            </w:tcMar>
          </w:tcPr>
          <w:p w14:paraId="2F5B8E74" w14:textId="77777777" w:rsidR="00DF147D" w:rsidRPr="00FF37C1" w:rsidRDefault="00000000" w:rsidP="00FF37C1">
            <w:pPr>
              <w:jc w:val="both"/>
              <w:rPr>
                <w:rFonts w:ascii="Abadi" w:hAnsi="Abadi"/>
                <w:sz w:val="22"/>
                <w:szCs w:val="22"/>
                <w:lang w:val="en-US"/>
              </w:rPr>
            </w:pPr>
            <w:r>
              <w:rPr>
                <w:rFonts w:ascii="Abadi" w:eastAsia="Calibri" w:hAnsi="Abadi" w:cs="Calibri"/>
                <w:b/>
                <w:bCs/>
                <w:color w:val="1A1A1A"/>
                <w:sz w:val="22"/>
                <w:szCs w:val="22"/>
                <w:lang w:val="en-US"/>
              </w:rPr>
              <w:t>Classification</w:t>
            </w:r>
          </w:p>
        </w:tc>
        <w:tc>
          <w:tcPr>
            <w:tcW w:w="7771" w:type="dxa"/>
            <w:tcBorders>
              <w:top w:val="single" w:sz="4" w:space="0" w:color="999999"/>
              <w:left w:val="none" w:sz="0" w:space="0" w:color="FFFFFF"/>
              <w:bottom w:val="single" w:sz="4" w:space="0" w:color="999999"/>
              <w:right w:val="none" w:sz="0" w:space="0" w:color="FFFFFF"/>
            </w:tcBorders>
            <w:shd w:val="clear" w:color="auto" w:fill="E8EEF5"/>
            <w:tcMar>
              <w:top w:w="80" w:type="dxa"/>
              <w:left w:w="120" w:type="dxa"/>
              <w:bottom w:w="80" w:type="dxa"/>
              <w:right w:w="80" w:type="dxa"/>
            </w:tcMar>
          </w:tcPr>
          <w:p w14:paraId="6674C9CF" w14:textId="77777777" w:rsidR="00DF147D" w:rsidRPr="00FF37C1" w:rsidRDefault="00000000" w:rsidP="00FF37C1">
            <w:pPr>
              <w:jc w:val="both"/>
              <w:rPr>
                <w:rFonts w:ascii="Abadi" w:hAnsi="Abadi"/>
                <w:sz w:val="22"/>
                <w:szCs w:val="22"/>
                <w:lang w:val="en-US"/>
              </w:rPr>
            </w:pPr>
            <w:r>
              <w:rPr>
                <w:rFonts w:ascii="Abadi" w:eastAsia="Calibri" w:hAnsi="Abadi" w:cs="Calibri"/>
                <w:color w:val="1A1A1A"/>
                <w:sz w:val="22"/>
                <w:szCs w:val="22"/>
                <w:lang w:val="en-US"/>
              </w:rPr>
              <w:t>NOT CONFIDENTIAL [information taken from verifiable open sources, international organizations, and specialized analysis].</w:t>
            </w:r>
          </w:p>
        </w:tc>
      </w:tr>
      <w:tr w:rsidR="00DF147D" w:rsidRPr="00FF37C1" w14:paraId="38940665" w14:textId="77777777" w:rsidTr="00FF37C1">
        <w:tblPrEx>
          <w:tblCellMar>
            <w:top w:w="0" w:type="dxa"/>
            <w:bottom w:w="0" w:type="dxa"/>
          </w:tblCellMar>
        </w:tblPrEx>
        <w:tc>
          <w:tcPr>
            <w:tcW w:w="2399" w:type="dxa"/>
            <w:tcBorders>
              <w:top w:val="single" w:sz="4" w:space="0" w:color="999999"/>
              <w:left w:val="none" w:sz="0" w:space="0" w:color="FFFFFF"/>
              <w:bottom w:val="single" w:sz="4" w:space="0" w:color="999999"/>
              <w:right w:val="none" w:sz="0" w:space="0" w:color="FFFFFF"/>
            </w:tcBorders>
            <w:shd w:val="clear" w:color="auto" w:fill="F5F7FA"/>
            <w:tcMar>
              <w:top w:w="80" w:type="dxa"/>
              <w:left w:w="120" w:type="dxa"/>
              <w:bottom w:w="80" w:type="dxa"/>
              <w:right w:w="80" w:type="dxa"/>
            </w:tcMar>
          </w:tcPr>
          <w:p w14:paraId="23DDA3DE" w14:textId="77777777" w:rsidR="00DF147D" w:rsidRPr="00FF37C1" w:rsidRDefault="00000000" w:rsidP="00FF37C1">
            <w:pPr>
              <w:jc w:val="both"/>
              <w:rPr>
                <w:rFonts w:ascii="Abadi" w:hAnsi="Abadi"/>
                <w:sz w:val="22"/>
                <w:szCs w:val="22"/>
                <w:lang w:val="en-US"/>
              </w:rPr>
            </w:pPr>
            <w:r>
              <w:rPr>
                <w:rFonts w:ascii="Abadi" w:eastAsia="Calibri" w:hAnsi="Abadi" w:cs="Calibri"/>
                <w:b/>
                <w:bCs/>
                <w:color w:val="1A1A1A"/>
                <w:sz w:val="22"/>
                <w:szCs w:val="22"/>
                <w:lang w:val="en-US"/>
              </w:rPr>
              <w:t>Geographic Area</w:t>
            </w:r>
          </w:p>
        </w:tc>
        <w:tc>
          <w:tcPr>
            <w:tcW w:w="7771" w:type="dxa"/>
            <w:tcBorders>
              <w:top w:val="single" w:sz="4" w:space="0" w:color="999999"/>
              <w:left w:val="none" w:sz="0" w:space="0" w:color="FFFFFF"/>
              <w:bottom w:val="single" w:sz="4" w:space="0" w:color="999999"/>
              <w:right w:val="none" w:sz="0" w:space="0" w:color="FFFFFF"/>
            </w:tcBorders>
            <w:shd w:val="clear" w:color="auto" w:fill="F5F7FA"/>
            <w:tcMar>
              <w:top w:w="80" w:type="dxa"/>
              <w:left w:w="120" w:type="dxa"/>
              <w:bottom w:w="80" w:type="dxa"/>
              <w:right w:w="80" w:type="dxa"/>
            </w:tcMar>
          </w:tcPr>
          <w:p w14:paraId="08E44768" w14:textId="77777777" w:rsidR="00DF147D" w:rsidRPr="00FF37C1" w:rsidRDefault="00000000" w:rsidP="00FF37C1">
            <w:pPr>
              <w:jc w:val="both"/>
              <w:rPr>
                <w:rFonts w:ascii="Abadi" w:hAnsi="Abadi"/>
                <w:sz w:val="22"/>
                <w:szCs w:val="22"/>
                <w:lang w:val="en-US"/>
              </w:rPr>
            </w:pPr>
            <w:r>
              <w:rPr>
                <w:rFonts w:ascii="Abadi" w:eastAsia="Calibri" w:hAnsi="Abadi" w:cs="Calibri"/>
                <w:color w:val="1A1A1A"/>
                <w:sz w:val="22"/>
                <w:szCs w:val="22"/>
                <w:lang w:val="en-US"/>
              </w:rPr>
              <w:t>Venezuela / Hemisferio Occidental / Global</w:t>
            </w:r>
          </w:p>
        </w:tc>
      </w:tr>
      <w:tr w:rsidR="00DF147D" w:rsidRPr="00FF37C1" w14:paraId="09253B62" w14:textId="77777777" w:rsidTr="00FF37C1">
        <w:tblPrEx>
          <w:tblCellMar>
            <w:top w:w="0" w:type="dxa"/>
            <w:bottom w:w="0" w:type="dxa"/>
          </w:tblCellMar>
        </w:tblPrEx>
        <w:tc>
          <w:tcPr>
            <w:tcW w:w="2399" w:type="dxa"/>
            <w:tcBorders>
              <w:top w:val="single" w:sz="4" w:space="0" w:color="999999"/>
              <w:left w:val="none" w:sz="0" w:space="0" w:color="FFFFFF"/>
              <w:bottom w:val="single" w:sz="4" w:space="0" w:color="999999"/>
              <w:right w:val="none" w:sz="0" w:space="0" w:color="FFFFFF"/>
            </w:tcBorders>
            <w:shd w:val="clear" w:color="auto" w:fill="E8EEF5"/>
            <w:tcMar>
              <w:top w:w="80" w:type="dxa"/>
              <w:left w:w="120" w:type="dxa"/>
              <w:bottom w:w="80" w:type="dxa"/>
              <w:right w:w="80" w:type="dxa"/>
            </w:tcMar>
          </w:tcPr>
          <w:p w14:paraId="21C63193" w14:textId="77777777" w:rsidR="00DF147D" w:rsidRPr="00FF37C1" w:rsidRDefault="00000000" w:rsidP="00FF37C1">
            <w:pPr>
              <w:jc w:val="both"/>
              <w:rPr>
                <w:rFonts w:ascii="Abadi" w:hAnsi="Abadi"/>
                <w:sz w:val="22"/>
                <w:szCs w:val="22"/>
                <w:lang w:val="en-US"/>
              </w:rPr>
            </w:pPr>
            <w:r>
              <w:rPr>
                <w:rFonts w:ascii="Abadi" w:eastAsia="Calibri" w:hAnsi="Abadi" w:cs="Calibri"/>
                <w:b/>
                <w:bCs/>
                <w:color w:val="1A1A1A"/>
                <w:sz w:val="22"/>
                <w:szCs w:val="22"/>
                <w:lang w:val="en-US"/>
              </w:rPr>
              <w:t>Report Type</w:t>
            </w:r>
          </w:p>
        </w:tc>
        <w:tc>
          <w:tcPr>
            <w:tcW w:w="7771" w:type="dxa"/>
            <w:tcBorders>
              <w:top w:val="single" w:sz="4" w:space="0" w:color="999999"/>
              <w:left w:val="none" w:sz="0" w:space="0" w:color="FFFFFF"/>
              <w:bottom w:val="single" w:sz="4" w:space="0" w:color="999999"/>
              <w:right w:val="none" w:sz="0" w:space="0" w:color="FFFFFF"/>
            </w:tcBorders>
            <w:shd w:val="clear" w:color="auto" w:fill="E8EEF5"/>
            <w:tcMar>
              <w:top w:w="80" w:type="dxa"/>
              <w:left w:w="120" w:type="dxa"/>
              <w:bottom w:w="80" w:type="dxa"/>
              <w:right w:w="80" w:type="dxa"/>
            </w:tcMar>
          </w:tcPr>
          <w:p w14:paraId="4B68A8EC" w14:textId="77777777" w:rsidR="00DF147D" w:rsidRPr="00FF37C1" w:rsidRDefault="00000000" w:rsidP="00FF37C1">
            <w:pPr>
              <w:jc w:val="both"/>
              <w:rPr>
                <w:rFonts w:ascii="Abadi" w:hAnsi="Abadi"/>
                <w:sz w:val="22"/>
                <w:szCs w:val="22"/>
                <w:lang w:val="en-US"/>
              </w:rPr>
            </w:pPr>
            <w:r>
              <w:rPr>
                <w:rFonts w:ascii="Abadi" w:eastAsia="Calibri" w:hAnsi="Abadi" w:cs="Calibri"/>
                <w:color w:val="1A1A1A"/>
                <w:sz w:val="22"/>
                <w:szCs w:val="22"/>
                <w:lang w:val="en-US"/>
              </w:rPr>
              <w:t>Geopolitical, Energy, and Economic Analysis</w:t>
            </w:r>
          </w:p>
        </w:tc>
      </w:tr>
      <w:tr w:rsidR="00DF147D" w:rsidRPr="00FF37C1" w14:paraId="2F09C631" w14:textId="77777777" w:rsidTr="00FF37C1">
        <w:tblPrEx>
          <w:tblCellMar>
            <w:top w:w="0" w:type="dxa"/>
            <w:bottom w:w="0" w:type="dxa"/>
          </w:tblCellMar>
        </w:tblPrEx>
        <w:tc>
          <w:tcPr>
            <w:tcW w:w="2399" w:type="dxa"/>
            <w:tcBorders>
              <w:top w:val="single" w:sz="4" w:space="0" w:color="999999"/>
              <w:left w:val="none" w:sz="0" w:space="0" w:color="FFFFFF"/>
              <w:bottom w:val="single" w:sz="4" w:space="0" w:color="999999"/>
              <w:right w:val="none" w:sz="0" w:space="0" w:color="FFFFFF"/>
            </w:tcBorders>
            <w:shd w:val="clear" w:color="auto" w:fill="F5F7FA"/>
            <w:tcMar>
              <w:top w:w="80" w:type="dxa"/>
              <w:left w:w="120" w:type="dxa"/>
              <w:bottom w:w="80" w:type="dxa"/>
              <w:right w:w="80" w:type="dxa"/>
            </w:tcMar>
          </w:tcPr>
          <w:p w14:paraId="7463C350" w14:textId="77777777" w:rsidR="00DF147D" w:rsidRPr="00FF37C1" w:rsidRDefault="00000000" w:rsidP="00FF37C1">
            <w:pPr>
              <w:jc w:val="both"/>
              <w:rPr>
                <w:rFonts w:ascii="Abadi" w:hAnsi="Abadi"/>
                <w:sz w:val="22"/>
                <w:szCs w:val="22"/>
                <w:lang w:val="en-US"/>
              </w:rPr>
            </w:pPr>
            <w:r>
              <w:rPr>
                <w:rFonts w:ascii="Abadi" w:eastAsia="Calibri" w:hAnsi="Abadi" w:cs="Calibri"/>
                <w:b/>
                <w:bCs/>
                <w:color w:val="1A1A1A"/>
                <w:sz w:val="22"/>
                <w:szCs w:val="22"/>
                <w:lang w:val="en-US"/>
              </w:rPr>
              <w:t>Prepared by</w:t>
            </w:r>
          </w:p>
        </w:tc>
        <w:tc>
          <w:tcPr>
            <w:tcW w:w="7771" w:type="dxa"/>
            <w:tcBorders>
              <w:top w:val="single" w:sz="4" w:space="0" w:color="999999"/>
              <w:left w:val="none" w:sz="0" w:space="0" w:color="FFFFFF"/>
              <w:bottom w:val="single" w:sz="4" w:space="0" w:color="999999"/>
              <w:right w:val="none" w:sz="0" w:space="0" w:color="FFFFFF"/>
            </w:tcBorders>
            <w:shd w:val="clear" w:color="auto" w:fill="F5F7FA"/>
            <w:tcMar>
              <w:top w:w="80" w:type="dxa"/>
              <w:left w:w="120" w:type="dxa"/>
              <w:bottom w:w="80" w:type="dxa"/>
              <w:right w:w="80" w:type="dxa"/>
            </w:tcMar>
          </w:tcPr>
          <w:p w14:paraId="3248D46A" w14:textId="77777777" w:rsidR="00DF147D" w:rsidRPr="00FF37C1" w:rsidRDefault="00000000" w:rsidP="00FF37C1">
            <w:pPr>
              <w:jc w:val="both"/>
              <w:rPr>
                <w:rFonts w:ascii="Abadi" w:hAnsi="Abadi"/>
                <w:sz w:val="22"/>
                <w:szCs w:val="22"/>
                <w:lang w:val="en-US"/>
              </w:rPr>
            </w:pPr>
            <w:r>
              <w:rPr>
                <w:rFonts w:ascii="Abadi" w:eastAsia="Calibri" w:hAnsi="Abadi" w:cs="Calibri"/>
                <w:color w:val="1A1A1A"/>
                <w:sz w:val="22"/>
                <w:szCs w:val="22"/>
                <w:lang w:val="en-US"/>
              </w:rPr>
              <w:t>Msc. Pedro Barrueco Perez</w:t>
            </w:r>
          </w:p>
        </w:tc>
      </w:tr>
    </w:tbl>
    <w:p w14:paraId="25051DEB" w14:textId="77777777" w:rsidR="00DF147D" w:rsidRDefault="00DF147D" w:rsidP="00FF37C1">
      <w:pPr>
        <w:jc w:val="both"/>
        <w:rPr>
          <w:rFonts w:ascii="Abadi" w:hAnsi="Abadi"/>
          <w:sz w:val="24"/>
          <w:szCs w:val="24"/>
        </w:rPr>
      </w:pPr>
    </w:p>
    <w:p w14:paraId="329A2379" w14:textId="77777777" w:rsidR="00FF37C1" w:rsidRPr="00FF37C1" w:rsidRDefault="00FF37C1" w:rsidP="00FF37C1">
      <w:pPr>
        <w:jc w:val="both"/>
        <w:rPr>
          <w:rFonts w:ascii="Abadi" w:hAnsi="Abadi"/>
          <w:sz w:val="24"/>
          <w:szCs w:val="24"/>
        </w:rPr>
      </w:pPr>
    </w:p>
    <w:tbl>
      <w:tblPr>
        <w:tblW w:w="10170" w:type="dxa"/>
        <w:tblBorders>
          <w:top w:val="none" w:sz="0" w:space="0" w:color="FFFFFF"/>
          <w:left w:val="none" w:sz="0" w:space="0" w:color="FFFFFF"/>
          <w:bottom w:val="single" w:sz="12" w:space="0" w:color="CC0000"/>
          <w:right w:val="none" w:sz="0" w:space="0" w:color="FFFFFF"/>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170"/>
      </w:tblGrid>
      <w:tr w:rsidR="00DF147D" w:rsidRPr="00FF37C1" w14:paraId="163EF528" w14:textId="77777777" w:rsidTr="00FF37C1">
        <w:tblPrEx>
          <w:tblCellMar>
            <w:top w:w="0" w:type="dxa"/>
            <w:bottom w:w="0" w:type="dxa"/>
          </w:tblCellMar>
        </w:tblPrEx>
        <w:tc>
          <w:tcPr>
            <w:tcW w:w="10170" w:type="dxa"/>
            <w:tcBorders>
              <w:top w:val="none" w:sz="0" w:space="0" w:color="FFFFFF"/>
              <w:left w:val="none" w:sz="0" w:space="0" w:color="FFFFFF"/>
              <w:bottom w:val="none" w:sz="0" w:space="0" w:color="FFFFFF"/>
              <w:right w:val="none" w:sz="0" w:space="0" w:color="FFFFFF"/>
            </w:tcBorders>
            <w:shd w:val="clear" w:color="auto" w:fill="111E35"/>
            <w:tcMar>
              <w:top w:w="100" w:type="dxa"/>
              <w:left w:w="200" w:type="dxa"/>
              <w:bottom w:w="100" w:type="dxa"/>
              <w:right w:w="200" w:type="dxa"/>
            </w:tcMar>
          </w:tcPr>
          <w:p w14:paraId="50598B39" w14:textId="77777777" w:rsidR="00DF147D" w:rsidRPr="00FF37C1" w:rsidRDefault="00000000" w:rsidP="00FF37C1">
            <w:pPr>
              <w:jc w:val="both"/>
              <w:rPr>
                <w:rFonts w:ascii="Abadi" w:hAnsi="Abadi"/>
                <w:sz w:val="24"/>
                <w:szCs w:val="24"/>
              </w:rPr>
            </w:pPr>
            <w:r>
              <w:rPr>
                <w:rFonts w:ascii="Abadi" w:eastAsia="Calibri" w:hAnsi="Abadi" w:cs="Calibri"/>
                <w:b/>
                <w:bCs/>
                <w:color w:val="FFFFFF"/>
                <w:sz w:val="24"/>
                <w:szCs w:val="24"/>
              </w:rPr>
              <w:t>1.  EXECUTIVE SUMMARY</w:t>
            </w:r>
          </w:p>
        </w:tc>
      </w:tr>
    </w:tbl>
    <w:p w14:paraId="3162FB1A" w14:textId="77777777" w:rsidR="00FF37C1" w:rsidRDefault="00FF37C1" w:rsidP="00FF37C1">
      <w:pPr>
        <w:ind w:firstLine="720"/>
        <w:jc w:val="both"/>
        <w:rPr>
          <w:rFonts w:ascii="Abadi" w:eastAsia="Calibri" w:hAnsi="Abadi" w:cs="Calibri"/>
          <w:color w:val="1A1A1A"/>
          <w:sz w:val="24"/>
          <w:szCs w:val="24"/>
          <w:lang w:val="en-US"/>
        </w:rPr>
      </w:pPr>
    </w:p>
    <w:p w14:paraId="084FC525" w14:textId="5E4FAB14" w:rsidR="00DF147D" w:rsidRDefault="00000000" w:rsidP="00A7547F">
      <w:pPr>
        <w:ind w:right="-90" w:firstLine="720"/>
        <w:jc w:val="both"/>
        <w:rPr>
          <w:rFonts w:ascii="Abadi" w:eastAsia="Calibri" w:hAnsi="Abadi" w:cs="Calibri"/>
          <w:color w:val="1A1A1A"/>
          <w:sz w:val="24"/>
          <w:szCs w:val="24"/>
          <w:lang w:val="en-US"/>
        </w:rPr>
      </w:pPr>
      <w:r>
        <w:rPr>
          <w:rFonts w:ascii="Abadi" w:eastAsia="Calibri" w:hAnsi="Abadi" w:cs="Calibri"/>
          <w:color w:val="1A1A1A"/>
          <w:sz w:val="24"/>
          <w:szCs w:val="24"/>
          <w:lang w:val="en-US"/>
        </w:rPr>
        <w:t>This Intelligence Briefing provides a comprehensive analysis of the Venezuelan situation across its energy, economic, political-institutional, and security dimensions, with special emphasis on risk and opportunity vectors relevant to the private investor for the 2024–2026 period. The analysis integrates verifiable open sources, including the U.S. Energy Information Administration (EIA), the International Energy Agency (IEA), OPEC, the International Monetary Fund (IMF), the Central Bank of Venezuela (BCV), S&amp;P Global, Bloomberg NEF, Ecoanalítica, defense organizations such as RAND Corporation and IISS, as well as specialized Venezuelan and international media.</w:t>
      </w:r>
    </w:p>
    <w:p w14:paraId="2BDE4488" w14:textId="77777777" w:rsidR="00FF37C1" w:rsidRPr="00FF37C1" w:rsidRDefault="00FF37C1" w:rsidP="00A7547F">
      <w:pPr>
        <w:ind w:right="-90" w:firstLine="720"/>
        <w:jc w:val="both"/>
        <w:rPr>
          <w:rFonts w:ascii="Abadi" w:hAnsi="Abadi"/>
          <w:sz w:val="24"/>
          <w:szCs w:val="24"/>
          <w:lang w:val="en-US"/>
        </w:rPr>
      </w:pPr>
    </w:p>
    <w:p w14:paraId="774AC619" w14:textId="79740306" w:rsidR="00DF147D" w:rsidRDefault="00000000" w:rsidP="00A7547F">
      <w:pPr>
        <w:ind w:right="-90" w:firstLine="720"/>
        <w:jc w:val="both"/>
        <w:rPr>
          <w:rFonts w:ascii="Abadi" w:eastAsia="Calibri" w:hAnsi="Abadi" w:cs="Calibri"/>
          <w:color w:val="1A1A1A"/>
          <w:sz w:val="24"/>
          <w:szCs w:val="24"/>
          <w:lang w:val="en-US"/>
        </w:rPr>
      </w:pPr>
      <w:r>
        <w:rPr>
          <w:rFonts w:ascii="Abadi" w:eastAsia="Calibri" w:hAnsi="Abadi" w:cs="Calibri"/>
          <w:color w:val="1A1A1A"/>
          <w:sz w:val="24"/>
          <w:szCs w:val="24"/>
          <w:lang w:val="en-US"/>
        </w:rPr>
        <w:t xml:space="preserve">Venezuela is undergoing an unprecedented historical juncture: the capture of Nicolás Maduro on January 3, 2026, in a U.S. special forces operation opened a political transition process that, as of October 2026, is advancing uncertainly but continuously. Simultaneously, the energy sector registers its most significant recovery in two decades, driven by Chevron's expansion and new energy agreements with the United States. The economy, partially dollarized since 2019, maintains positive albeit fragile growth, while the mining, gas, and electricity sectors present very differentiated stages of development.</w:t>
      </w:r>
    </w:p>
    <w:p w14:paraId="7149428D" w14:textId="77777777" w:rsidR="00A7547F" w:rsidRPr="00FF37C1" w:rsidRDefault="00A7547F" w:rsidP="00A7547F">
      <w:pPr>
        <w:ind w:right="-90" w:firstLine="720"/>
        <w:jc w:val="both"/>
        <w:rPr>
          <w:rFonts w:ascii="Abadi" w:hAnsi="Abadi"/>
          <w:sz w:val="24"/>
          <w:szCs w:val="24"/>
          <w:lang w:val="en-US"/>
        </w:rPr>
      </w:pPr>
    </w:p>
    <w:tbl>
      <w:tblPr>
        <w:tblW w:w="10170" w:type="dxa"/>
        <w:tblBorders>
          <w:top w:val="single" w:sz="4" w:space="0" w:color="1B2A4A"/>
          <w:left w:val="none" w:sz="0" w:space="0" w:color="FFFFFF"/>
          <w:bottom w:val="single" w:sz="4" w:space="0" w:color="1B2A4A"/>
          <w:right w:val="none" w:sz="0" w:space="0" w:color="FFFFFF"/>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20"/>
        <w:gridCol w:w="2520"/>
        <w:gridCol w:w="2520"/>
        <w:gridCol w:w="2610"/>
      </w:tblGrid>
      <w:tr w:rsidR="00DF147D" w:rsidRPr="00A7547F" w14:paraId="7220C183" w14:textId="77777777" w:rsidTr="00A7547F">
        <w:tblPrEx>
          <w:tblCellMar>
            <w:top w:w="0" w:type="dxa"/>
            <w:bottom w:w="0" w:type="dxa"/>
          </w:tblCellMar>
        </w:tblPrEx>
        <w:tc>
          <w:tcPr>
            <w:tcW w:w="2520" w:type="dxa"/>
            <w:tcBorders>
              <w:top w:val="none" w:sz="0" w:space="0" w:color="FFFFFF"/>
              <w:left w:val="none" w:sz="0" w:space="0" w:color="FFFFFF"/>
              <w:bottom w:val="none" w:sz="0" w:space="0" w:color="FFFFFF"/>
              <w:right w:val="single" w:sz="6" w:space="0" w:color="CCCCCC"/>
            </w:tcBorders>
            <w:shd w:val="clear" w:color="auto" w:fill="EEF4FB"/>
            <w:tcMar>
              <w:top w:w="100" w:type="dxa"/>
              <w:left w:w="80" w:type="dxa"/>
              <w:bottom w:w="100" w:type="dxa"/>
              <w:right w:w="80" w:type="dxa"/>
            </w:tcMar>
          </w:tcPr>
          <w:p w14:paraId="0A9EACFD" w14:textId="77777777" w:rsidR="00DF147D" w:rsidRPr="00A7547F" w:rsidRDefault="00000000" w:rsidP="00A7547F">
            <w:pPr>
              <w:ind w:right="-90"/>
              <w:jc w:val="both"/>
              <w:rPr>
                <w:rFonts w:ascii="Abadi" w:hAnsi="Abadi"/>
                <w:sz w:val="22"/>
                <w:szCs w:val="22"/>
                <w:lang w:val="en-US"/>
              </w:rPr>
            </w:pPr>
            <w:r>
              <w:rPr>
                <w:rFonts w:ascii="Abadi" w:eastAsia="Calibri" w:hAnsi="Abadi" w:cs="Calibri"/>
                <w:b/>
                <w:bCs/>
                <w:color w:val="4A4A4A"/>
                <w:sz w:val="22"/>
                <w:szCs w:val="22"/>
                <w:lang w:val="en-US"/>
              </w:rPr>
              <w:t>PDVSA Production</w:t>
            </w:r>
          </w:p>
          <w:p w14:paraId="045F1BCA" w14:textId="77777777" w:rsidR="00DF147D" w:rsidRPr="00A7547F" w:rsidRDefault="00000000" w:rsidP="00A7547F">
            <w:pPr>
              <w:ind w:right="-90"/>
              <w:jc w:val="both"/>
              <w:rPr>
                <w:rFonts w:ascii="Abadi" w:hAnsi="Abadi"/>
                <w:sz w:val="22"/>
                <w:szCs w:val="22"/>
                <w:lang w:val="en-US"/>
              </w:rPr>
            </w:pPr>
            <w:r>
              <w:rPr>
                <w:rFonts w:ascii="Abadi" w:eastAsia="Calibri" w:hAnsi="Abadi" w:cs="Calibri"/>
                <w:b/>
                <w:bCs/>
                <w:color w:val="1B2A4A"/>
                <w:sz w:val="22"/>
                <w:szCs w:val="22"/>
                <w:lang w:val="en-US"/>
              </w:rPr>
              <w:t>~1.1 M bpd</w:t>
            </w:r>
          </w:p>
          <w:p w14:paraId="4FB9B87F" w14:textId="77777777" w:rsidR="00DF147D" w:rsidRPr="00A7547F" w:rsidRDefault="00000000" w:rsidP="00A7547F">
            <w:pPr>
              <w:ind w:right="-90"/>
              <w:jc w:val="both"/>
              <w:rPr>
                <w:rFonts w:ascii="Abadi" w:hAnsi="Abadi"/>
                <w:sz w:val="22"/>
                <w:szCs w:val="22"/>
                <w:lang w:val="en-US"/>
              </w:rPr>
            </w:pPr>
            <w:r>
              <w:rPr>
                <w:rFonts w:ascii="Abadi" w:eastAsia="Calibri" w:hAnsi="Abadi" w:cs="Calibri"/>
                <w:color w:val="4A4A4A"/>
                <w:sz w:val="22"/>
                <w:szCs w:val="22"/>
                <w:lang w:val="en-US"/>
              </w:rPr>
              <w:t>(OPEP, 2025)</w:t>
            </w:r>
          </w:p>
        </w:tc>
        <w:tc>
          <w:tcPr>
            <w:tcW w:w="2520" w:type="dxa"/>
            <w:tcBorders>
              <w:top w:val="none" w:sz="0" w:space="0" w:color="FFFFFF"/>
              <w:left w:val="none" w:sz="0" w:space="0" w:color="FFFFFF"/>
              <w:bottom w:val="none" w:sz="0" w:space="0" w:color="FFFFFF"/>
              <w:right w:val="single" w:sz="6" w:space="0" w:color="CCCCCC"/>
            </w:tcBorders>
            <w:shd w:val="clear" w:color="auto" w:fill="EEF4FB"/>
            <w:tcMar>
              <w:top w:w="100" w:type="dxa"/>
              <w:left w:w="80" w:type="dxa"/>
              <w:bottom w:w="100" w:type="dxa"/>
              <w:right w:w="80" w:type="dxa"/>
            </w:tcMar>
          </w:tcPr>
          <w:p w14:paraId="22E7CF1C" w14:textId="77777777" w:rsidR="00DF147D" w:rsidRPr="00A7547F" w:rsidRDefault="00000000" w:rsidP="00A7547F">
            <w:pPr>
              <w:ind w:right="-90"/>
              <w:jc w:val="both"/>
              <w:rPr>
                <w:rFonts w:ascii="Abadi" w:hAnsi="Abadi"/>
                <w:sz w:val="22"/>
                <w:szCs w:val="22"/>
                <w:lang w:val="en-US"/>
              </w:rPr>
            </w:pPr>
            <w:r>
              <w:rPr>
                <w:rFonts w:ascii="Abadi" w:eastAsia="Calibri" w:hAnsi="Abadi" w:cs="Calibri"/>
                <w:b/>
                <w:bCs/>
                <w:color w:val="4A4A4A"/>
                <w:sz w:val="22"/>
                <w:szCs w:val="22"/>
                <w:lang w:val="en-US"/>
              </w:rPr>
              <w:t>Proven Reserves</w:t>
            </w:r>
          </w:p>
          <w:p w14:paraId="32011906" w14:textId="77777777" w:rsidR="00DF147D" w:rsidRPr="00A7547F" w:rsidRDefault="00000000" w:rsidP="00A7547F">
            <w:pPr>
              <w:ind w:right="-90"/>
              <w:jc w:val="both"/>
              <w:rPr>
                <w:rFonts w:ascii="Abadi" w:hAnsi="Abadi"/>
                <w:sz w:val="22"/>
                <w:szCs w:val="22"/>
                <w:lang w:val="en-US"/>
              </w:rPr>
            </w:pPr>
            <w:r>
              <w:rPr>
                <w:rFonts w:ascii="Abadi" w:eastAsia="Calibri" w:hAnsi="Abadi" w:cs="Calibri"/>
                <w:b/>
                <w:bCs/>
                <w:color w:val="1B2A4A"/>
                <w:sz w:val="22"/>
                <w:szCs w:val="22"/>
                <w:lang w:val="en-US"/>
              </w:rPr>
              <w:t>303.8 Gmmbls</w:t>
            </w:r>
          </w:p>
          <w:p w14:paraId="6F29C954" w14:textId="77777777" w:rsidR="00DF147D" w:rsidRPr="00A7547F" w:rsidRDefault="00000000" w:rsidP="00A7547F">
            <w:pPr>
              <w:ind w:right="-90"/>
              <w:jc w:val="both"/>
              <w:rPr>
                <w:rFonts w:ascii="Abadi" w:hAnsi="Abadi"/>
                <w:sz w:val="22"/>
                <w:szCs w:val="22"/>
                <w:lang w:val="en-US"/>
              </w:rPr>
            </w:pPr>
            <w:r>
              <w:rPr>
                <w:rFonts w:ascii="Abadi" w:eastAsia="Calibri" w:hAnsi="Abadi" w:cs="Calibri"/>
                <w:color w:val="4A4A4A"/>
                <w:sz w:val="22"/>
                <w:szCs w:val="22"/>
                <w:lang w:val="en-US"/>
              </w:rPr>
              <w:t>(#1 mundial)</w:t>
            </w:r>
          </w:p>
        </w:tc>
        <w:tc>
          <w:tcPr>
            <w:tcW w:w="2520" w:type="dxa"/>
            <w:tcBorders>
              <w:top w:val="none" w:sz="0" w:space="0" w:color="FFFFFF"/>
              <w:left w:val="none" w:sz="0" w:space="0" w:color="FFFFFF"/>
              <w:bottom w:val="none" w:sz="0" w:space="0" w:color="FFFFFF"/>
              <w:right w:val="single" w:sz="6" w:space="0" w:color="CCCCCC"/>
            </w:tcBorders>
            <w:shd w:val="clear" w:color="auto" w:fill="EEF4FB"/>
            <w:tcMar>
              <w:top w:w="100" w:type="dxa"/>
              <w:left w:w="80" w:type="dxa"/>
              <w:bottom w:w="100" w:type="dxa"/>
              <w:right w:w="80" w:type="dxa"/>
            </w:tcMar>
          </w:tcPr>
          <w:p w14:paraId="311D86AA" w14:textId="77777777" w:rsidR="00DF147D" w:rsidRPr="00A7547F" w:rsidRDefault="00000000" w:rsidP="00A7547F">
            <w:pPr>
              <w:ind w:right="-90"/>
              <w:jc w:val="both"/>
              <w:rPr>
                <w:rFonts w:ascii="Abadi" w:hAnsi="Abadi"/>
                <w:sz w:val="22"/>
                <w:szCs w:val="22"/>
                <w:lang w:val="en-US"/>
              </w:rPr>
            </w:pPr>
            <w:r>
              <w:rPr>
                <w:rFonts w:ascii="Abadi" w:eastAsia="Calibri" w:hAnsi="Abadi" w:cs="Calibri"/>
                <w:b/>
                <w:bCs/>
                <w:color w:val="4A4A4A"/>
                <w:sz w:val="22"/>
                <w:szCs w:val="22"/>
                <w:lang w:val="en-US"/>
              </w:rPr>
              <w:t>GDP Growth 2025</w:t>
            </w:r>
          </w:p>
          <w:p w14:paraId="54C3F801" w14:textId="77777777" w:rsidR="00DF147D" w:rsidRPr="00A7547F" w:rsidRDefault="00000000" w:rsidP="00A7547F">
            <w:pPr>
              <w:ind w:right="-90"/>
              <w:jc w:val="both"/>
              <w:rPr>
                <w:rFonts w:ascii="Abadi" w:hAnsi="Abadi"/>
                <w:sz w:val="22"/>
                <w:szCs w:val="22"/>
                <w:lang w:val="en-US"/>
              </w:rPr>
            </w:pPr>
            <w:r>
              <w:rPr>
                <w:rFonts w:ascii="Abadi" w:eastAsia="Calibri" w:hAnsi="Abadi" w:cs="Calibri"/>
                <w:b/>
                <w:bCs/>
                <w:color w:val="1B2A4A"/>
                <w:sz w:val="22"/>
                <w:szCs w:val="22"/>
                <w:lang w:val="en-US"/>
              </w:rPr>
              <w:t>+9.32%</w:t>
            </w:r>
          </w:p>
          <w:p w14:paraId="7D0E2CCE" w14:textId="77777777" w:rsidR="00DF147D" w:rsidRPr="00A7547F" w:rsidRDefault="00000000" w:rsidP="00A7547F">
            <w:pPr>
              <w:ind w:right="-90"/>
              <w:jc w:val="both"/>
              <w:rPr>
                <w:rFonts w:ascii="Abadi" w:hAnsi="Abadi"/>
                <w:sz w:val="22"/>
                <w:szCs w:val="22"/>
                <w:lang w:val="en-US"/>
              </w:rPr>
            </w:pPr>
            <w:r>
              <w:rPr>
                <w:rFonts w:ascii="Abadi" w:eastAsia="Calibri" w:hAnsi="Abadi" w:cs="Calibri"/>
                <w:color w:val="4A4A4A"/>
                <w:sz w:val="22"/>
                <w:szCs w:val="22"/>
                <w:lang w:val="en-US"/>
              </w:rPr>
              <w:t>(BCV / Q1 2025)</w:t>
            </w:r>
          </w:p>
        </w:tc>
        <w:tc>
          <w:tcPr>
            <w:tcW w:w="2610" w:type="dxa"/>
            <w:tcBorders>
              <w:top w:val="none" w:sz="0" w:space="0" w:color="FFFFFF"/>
              <w:left w:val="none" w:sz="0" w:space="0" w:color="FFFFFF"/>
              <w:bottom w:val="none" w:sz="0" w:space="0" w:color="FFFFFF"/>
              <w:right w:val="none" w:sz="0" w:space="0" w:color="FFFFFF"/>
            </w:tcBorders>
            <w:shd w:val="clear" w:color="auto" w:fill="EEF4FB"/>
            <w:tcMar>
              <w:top w:w="100" w:type="dxa"/>
              <w:left w:w="80" w:type="dxa"/>
              <w:bottom w:w="100" w:type="dxa"/>
              <w:right w:w="80" w:type="dxa"/>
            </w:tcMar>
          </w:tcPr>
          <w:p w14:paraId="23D9D100" w14:textId="77777777" w:rsidR="00DF147D" w:rsidRPr="00A7547F" w:rsidRDefault="00000000" w:rsidP="00A7547F">
            <w:pPr>
              <w:ind w:right="-90"/>
              <w:jc w:val="both"/>
              <w:rPr>
                <w:rFonts w:ascii="Abadi" w:hAnsi="Abadi"/>
                <w:sz w:val="22"/>
                <w:szCs w:val="22"/>
                <w:lang w:val="en-US"/>
              </w:rPr>
            </w:pPr>
            <w:r>
              <w:rPr>
                <w:rFonts w:ascii="Abadi" w:eastAsia="Calibri" w:hAnsi="Abadi" w:cs="Calibri"/>
                <w:b/>
                <w:bCs/>
                <w:color w:val="4A4A4A"/>
                <w:sz w:val="22"/>
                <w:szCs w:val="22"/>
                <w:lang w:val="en-US"/>
              </w:rPr>
              <w:t>Chevron Investment</w:t>
            </w:r>
          </w:p>
          <w:p w14:paraId="7633B1B5" w14:textId="77777777" w:rsidR="00DF147D" w:rsidRPr="00A7547F" w:rsidRDefault="00000000" w:rsidP="00A7547F">
            <w:pPr>
              <w:ind w:right="-90"/>
              <w:jc w:val="both"/>
              <w:rPr>
                <w:rFonts w:ascii="Abadi" w:hAnsi="Abadi"/>
                <w:sz w:val="22"/>
                <w:szCs w:val="22"/>
                <w:lang w:val="en-US"/>
              </w:rPr>
            </w:pPr>
            <w:r>
              <w:rPr>
                <w:rFonts w:ascii="Abadi" w:eastAsia="Calibri" w:hAnsi="Abadi" w:cs="Calibri"/>
                <w:b/>
                <w:bCs/>
                <w:color w:val="1B2A4A"/>
                <w:sz w:val="22"/>
                <w:szCs w:val="22"/>
                <w:lang w:val="en-US"/>
              </w:rPr>
              <w:t>USD $7B</w:t>
            </w:r>
          </w:p>
          <w:p w14:paraId="38355C3F" w14:textId="77777777" w:rsidR="00DF147D" w:rsidRPr="00A7547F" w:rsidRDefault="00000000" w:rsidP="00A7547F">
            <w:pPr>
              <w:ind w:right="-90"/>
              <w:jc w:val="both"/>
              <w:rPr>
                <w:rFonts w:ascii="Abadi" w:hAnsi="Abadi"/>
                <w:sz w:val="22"/>
                <w:szCs w:val="22"/>
                <w:lang w:val="en-US"/>
              </w:rPr>
            </w:pPr>
            <w:r>
              <w:rPr>
                <w:rFonts w:ascii="Abadi" w:eastAsia="Calibri" w:hAnsi="Abadi" w:cs="Calibri"/>
                <w:color w:val="4A4A4A"/>
                <w:sz w:val="22"/>
                <w:szCs w:val="22"/>
                <w:lang w:val="en-US"/>
              </w:rPr>
              <w:t>Meta: 600K bpd</w:t>
            </w:r>
          </w:p>
        </w:tc>
      </w:tr>
    </w:tbl>
    <w:p w14:paraId="6DACBC9E" w14:textId="77777777" w:rsidR="00DF147D" w:rsidRPr="00FF37C1" w:rsidRDefault="00DF147D" w:rsidP="00A7547F">
      <w:pPr>
        <w:ind w:right="-90"/>
        <w:jc w:val="both"/>
        <w:rPr>
          <w:rFonts w:ascii="Abadi" w:hAnsi="Abadi"/>
          <w:sz w:val="24"/>
          <w:szCs w:val="24"/>
          <w:lang w:val="en-US"/>
        </w:rPr>
      </w:pPr>
    </w:p>
    <w:tbl>
      <w:tblPr>
        <w:tblW w:w="10170" w:type="dxa"/>
        <w:tblBorders>
          <w:top w:val="none" w:sz="0" w:space="0" w:color="FFFFFF"/>
          <w:left w:val="none" w:sz="0" w:space="0" w:color="FFFFFF"/>
          <w:bottom w:val="single" w:sz="12" w:space="0" w:color="CC0000"/>
          <w:right w:val="none" w:sz="0" w:space="0" w:color="FFFFFF"/>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170"/>
      </w:tblGrid>
      <w:tr w:rsidR="00DF147D" w:rsidRPr="00FF37C1" w14:paraId="4DD2FA3F" w14:textId="77777777" w:rsidTr="00A7547F">
        <w:tblPrEx>
          <w:tblCellMar>
            <w:top w:w="0" w:type="dxa"/>
            <w:bottom w:w="0" w:type="dxa"/>
          </w:tblCellMar>
        </w:tblPrEx>
        <w:tc>
          <w:tcPr>
            <w:tcW w:w="10170" w:type="dxa"/>
            <w:tcBorders>
              <w:top w:val="none" w:sz="0" w:space="0" w:color="FFFFFF"/>
              <w:left w:val="none" w:sz="0" w:space="0" w:color="FFFFFF"/>
              <w:bottom w:val="none" w:sz="0" w:space="0" w:color="FFFFFF"/>
              <w:right w:val="none" w:sz="0" w:space="0" w:color="FFFFFF"/>
            </w:tcBorders>
            <w:shd w:val="clear" w:color="auto" w:fill="111E35"/>
            <w:tcMar>
              <w:top w:w="100" w:type="dxa"/>
              <w:left w:w="200" w:type="dxa"/>
              <w:bottom w:w="100" w:type="dxa"/>
              <w:right w:w="200" w:type="dxa"/>
            </w:tcMar>
          </w:tcPr>
          <w:p w14:paraId="16CCE752" w14:textId="77777777" w:rsidR="00DF147D" w:rsidRPr="00FF37C1" w:rsidRDefault="00000000" w:rsidP="00A7547F">
            <w:pPr>
              <w:ind w:right="-90"/>
              <w:jc w:val="both"/>
              <w:rPr>
                <w:rFonts w:ascii="Abadi" w:hAnsi="Abadi"/>
                <w:sz w:val="24"/>
                <w:szCs w:val="24"/>
                <w:lang w:val="en-US"/>
              </w:rPr>
            </w:pPr>
            <w:r>
              <w:rPr>
                <w:rFonts w:ascii="Abadi" w:eastAsia="Calibri" w:hAnsi="Abadi" w:cs="Calibri"/>
                <w:b/>
                <w:bCs/>
                <w:color w:val="FFFFFF"/>
                <w:sz w:val="24"/>
                <w:szCs w:val="24"/>
                <w:lang w:val="en-US"/>
              </w:rPr>
              <w:t>2.  POLITICAL LANDSCAPE: POST-MADURO TRANSITION</w:t>
            </w:r>
          </w:p>
        </w:tc>
      </w:tr>
    </w:tbl>
    <w:p w14:paraId="4FD6A737" w14:textId="77777777" w:rsidR="00A7547F" w:rsidRDefault="00A7547F" w:rsidP="00A7547F">
      <w:pPr>
        <w:pBdr>
          <w:bottom w:val="single" w:sz="6" w:space="0" w:color="CC0000"/>
        </w:pBdr>
        <w:ind w:right="-90"/>
        <w:jc w:val="both"/>
        <w:rPr>
          <w:rFonts w:ascii="Abadi" w:eastAsia="Calibri" w:hAnsi="Abadi" w:cs="Calibri"/>
          <w:b/>
          <w:bCs/>
          <w:color w:val="1A1A1A"/>
          <w:sz w:val="24"/>
          <w:szCs w:val="24"/>
          <w:lang w:val="en-US"/>
        </w:rPr>
      </w:pPr>
    </w:p>
    <w:p w14:paraId="31D72B57" w14:textId="664A6A23" w:rsidR="00DF147D" w:rsidRPr="00FF37C1" w:rsidRDefault="00000000" w:rsidP="00A7547F">
      <w:pPr>
        <w:pBdr>
          <w:bottom w:val="single" w:sz="6" w:space="0" w:color="CC0000"/>
        </w:pBdr>
        <w:ind w:right="-90"/>
        <w:jc w:val="both"/>
        <w:rPr>
          <w:rFonts w:ascii="Abadi" w:hAnsi="Abadi"/>
          <w:sz w:val="24"/>
          <w:szCs w:val="24"/>
          <w:lang w:val="en-US"/>
        </w:rPr>
      </w:pPr>
      <w:r>
        <w:rPr>
          <w:rFonts w:ascii="Abadi" w:eastAsia="Calibri" w:hAnsi="Abadi" w:cs="Calibri"/>
          <w:b/>
          <w:bCs/>
          <w:color w:val="1A1A1A"/>
          <w:sz w:val="24"/>
          <w:szCs w:val="24"/>
          <w:lang w:val="en-US"/>
        </w:rPr>
        <w:t>2.1  The July 28 Break and the Transition Process</w:t>
      </w:r>
    </w:p>
    <w:p w14:paraId="57DCA3E3" w14:textId="77777777" w:rsidR="00A7547F" w:rsidRDefault="00A7547F" w:rsidP="00A7547F">
      <w:pPr>
        <w:ind w:right="-90" w:firstLine="720"/>
        <w:jc w:val="both"/>
        <w:rPr>
          <w:rFonts w:ascii="Abadi" w:eastAsia="Calibri" w:hAnsi="Abadi" w:cs="Calibri"/>
          <w:color w:val="1A1A1A"/>
          <w:sz w:val="24"/>
          <w:szCs w:val="24"/>
          <w:lang w:val="en-US"/>
        </w:rPr>
      </w:pPr>
    </w:p>
    <w:p w14:paraId="26A66407" w14:textId="78D9D566" w:rsidR="00DF147D" w:rsidRDefault="00000000" w:rsidP="00A7547F">
      <w:pPr>
        <w:ind w:right="-90" w:firstLine="720"/>
        <w:jc w:val="both"/>
        <w:rPr>
          <w:rFonts w:ascii="Abadi" w:eastAsia="Calibri" w:hAnsi="Abadi" w:cs="Calibri"/>
          <w:color w:val="1A1A1A"/>
          <w:sz w:val="24"/>
          <w:szCs w:val="24"/>
          <w:lang w:val="en-US"/>
        </w:rPr>
      </w:pPr>
      <w:r>
        <w:rPr>
          <w:rFonts w:ascii="Abadi" w:eastAsia="Calibri" w:hAnsi="Abadi" w:cs="Calibri"/>
          <w:color w:val="1A1A1A"/>
          <w:sz w:val="24"/>
          <w:szCs w:val="24"/>
          <w:lang w:val="en-US"/>
        </w:rPr>
        <w:t>The presidential elections of July 28, 2024, constituted the most significant political turning point in Venezuela in decades. The National Electoral Council (CNE), dominated by the ruling party, proclaimed the reelection of Nicolás Maduro with figures that the opposition, international observers, and multiple regional governments rejected as fraudulent. The Democratic Unitary Platform (PUD), led by María Corina Machado, and opposition candidate Edmundo González Urrutia presented voting records showing a broad victory for González with approximately 67% of votes versus 30% for Maduro.</w:t>
      </w:r>
    </w:p>
    <w:p w14:paraId="6FAB8BBA" w14:textId="77777777" w:rsidR="00A7547F" w:rsidRPr="00FF37C1" w:rsidRDefault="00A7547F" w:rsidP="00A7547F">
      <w:pPr>
        <w:ind w:right="-90" w:firstLine="720"/>
        <w:jc w:val="both"/>
        <w:rPr>
          <w:rFonts w:ascii="Abadi" w:hAnsi="Abadi"/>
          <w:sz w:val="24"/>
          <w:szCs w:val="24"/>
          <w:lang w:val="en-US"/>
        </w:rPr>
      </w:pPr>
    </w:p>
    <w:p w14:paraId="58581597" w14:textId="77777777" w:rsidR="00DF147D" w:rsidRDefault="00000000" w:rsidP="00A7547F">
      <w:pPr>
        <w:ind w:right="-90" w:firstLine="720"/>
        <w:jc w:val="both"/>
        <w:rPr>
          <w:rFonts w:ascii="Abadi" w:eastAsia="Calibri" w:hAnsi="Abadi" w:cs="Calibri"/>
          <w:color w:val="1A1A1A"/>
          <w:sz w:val="24"/>
          <w:szCs w:val="24"/>
          <w:lang w:val="en-US"/>
        </w:rPr>
      </w:pPr>
      <w:r>
        <w:rPr>
          <w:rFonts w:ascii="Abadi" w:eastAsia="Calibri" w:hAnsi="Abadi" w:cs="Calibri"/>
          <w:color w:val="1A1A1A"/>
          <w:sz w:val="24"/>
          <w:szCs w:val="24"/>
          <w:lang w:val="en-US"/>
        </w:rPr>
        <w:t>The post-electoral repression resulted in more than 2,400 detentions, dozens of deaths during protests, and the political disqualification of opposition leaders. González Urrutia was recognized as the legitimate President-elect by more than 15 countries, including the United States, Argentina, and most members of the European Union. However, the regime maintained control of the state apparatus until January 2026.</w:t>
      </w:r>
    </w:p>
    <w:p w14:paraId="106CFAB3" w14:textId="77777777" w:rsidR="00A7547F" w:rsidRPr="00FF37C1" w:rsidRDefault="00A7547F" w:rsidP="00A7547F">
      <w:pPr>
        <w:ind w:right="-90" w:firstLine="720"/>
        <w:jc w:val="both"/>
        <w:rPr>
          <w:rFonts w:ascii="Abadi" w:hAnsi="Abadi"/>
          <w:sz w:val="24"/>
          <w:szCs w:val="24"/>
          <w:lang w:val="en-US"/>
        </w:rPr>
      </w:pPr>
    </w:p>
    <w:p w14:paraId="464132C6" w14:textId="77777777" w:rsidR="00DF147D" w:rsidRPr="00FF37C1" w:rsidRDefault="00000000" w:rsidP="00A7547F">
      <w:pPr>
        <w:pBdr>
          <w:bottom w:val="single" w:sz="6" w:space="0" w:color="CC0000"/>
        </w:pBdr>
        <w:ind w:right="-90"/>
        <w:jc w:val="both"/>
        <w:rPr>
          <w:rFonts w:ascii="Abadi" w:hAnsi="Abadi"/>
          <w:sz w:val="24"/>
          <w:szCs w:val="24"/>
          <w:lang w:val="en-US"/>
        </w:rPr>
      </w:pPr>
      <w:r>
        <w:rPr>
          <w:rFonts w:ascii="Abadi" w:eastAsia="Calibri" w:hAnsi="Abadi" w:cs="Calibri"/>
          <w:b/>
          <w:bCs/>
          <w:color w:val="1A1A1A"/>
          <w:sz w:val="24"/>
          <w:szCs w:val="24"/>
          <w:lang w:val="en-US"/>
        </w:rPr>
        <w:t>2.2  The Capture of Maduro (January 3, 2026)</w:t>
      </w:r>
    </w:p>
    <w:p w14:paraId="382E6B44" w14:textId="77777777" w:rsidR="00A7547F" w:rsidRDefault="00A7547F" w:rsidP="00A7547F">
      <w:pPr>
        <w:ind w:right="-90" w:firstLine="720"/>
        <w:jc w:val="both"/>
        <w:rPr>
          <w:rFonts w:ascii="Abadi" w:eastAsia="Calibri" w:hAnsi="Abadi" w:cs="Calibri"/>
          <w:color w:val="1A1A1A"/>
          <w:sz w:val="24"/>
          <w:szCs w:val="24"/>
          <w:lang w:val="en-US"/>
        </w:rPr>
      </w:pPr>
    </w:p>
    <w:p w14:paraId="4E45A581" w14:textId="3FDA63AB" w:rsidR="00DF147D" w:rsidRPr="00FF37C1" w:rsidRDefault="00000000" w:rsidP="00A7547F">
      <w:pPr>
        <w:ind w:right="-90" w:firstLine="720"/>
        <w:jc w:val="both"/>
        <w:rPr>
          <w:rFonts w:ascii="Abadi" w:hAnsi="Abadi"/>
          <w:sz w:val="24"/>
          <w:szCs w:val="24"/>
          <w:lang w:val="en-US"/>
        </w:rPr>
      </w:pPr>
      <w:r>
        <w:rPr>
          <w:rFonts w:ascii="Abadi" w:eastAsia="Calibri" w:hAnsi="Abadi" w:cs="Calibri"/>
          <w:color w:val="1A1A1A"/>
          <w:sz w:val="24"/>
          <w:szCs w:val="24"/>
          <w:lang w:val="en-US"/>
        </w:rPr>
        <w:t>In a high strategic-impact operation, U.S. special forces carried out the capture of Nicolás Maduro in Caracas on January 3, 2026, in the context of drug trafficking charges pending against him since 2020 before the Southern District of New York Court. The operation, which resulted in the death of approximately 40 Cuban operatives who formed part of the former president's personal security apparatus, marked the collapse of the Chavista-Madurista power structure.</w:t>
      </w:r>
    </w:p>
    <w:p w14:paraId="60EB1BF4" w14:textId="77777777" w:rsidR="00DF147D" w:rsidRDefault="00000000" w:rsidP="00A7547F">
      <w:pPr>
        <w:ind w:right="-90" w:firstLine="720"/>
        <w:jc w:val="both"/>
        <w:rPr>
          <w:rFonts w:ascii="Abadi" w:eastAsia="Calibri" w:hAnsi="Abadi" w:cs="Calibri"/>
          <w:color w:val="1A1A1A"/>
          <w:sz w:val="24"/>
          <w:szCs w:val="24"/>
          <w:lang w:val="en-US"/>
        </w:rPr>
      </w:pPr>
      <w:r>
        <w:rPr>
          <w:rFonts w:ascii="Abadi" w:eastAsia="Calibri" w:hAnsi="Abadi" w:cs="Calibri"/>
          <w:color w:val="1A1A1A"/>
          <w:sz w:val="24"/>
          <w:szCs w:val="24"/>
          <w:lang w:val="en-US"/>
        </w:rPr>
        <w:t>Unlike the post-Noriega process in Panama (1989), the Venezuelan transition has not been linear. The immediate power vacuum was contested among PSUV factions, the Bolivarian Armed Forces (FANB), and the democratic opposition. The figure of Diosdado Cabello, implicated in the negotiations with Washington, emerged as a temporary balancing factor.</w:t>
      </w:r>
    </w:p>
    <w:p w14:paraId="14536C56" w14:textId="77777777" w:rsidR="00A7547F" w:rsidRPr="00FF37C1" w:rsidRDefault="00A7547F" w:rsidP="00A7547F">
      <w:pPr>
        <w:ind w:right="-90" w:firstLine="720"/>
        <w:jc w:val="both"/>
        <w:rPr>
          <w:rFonts w:ascii="Abadi" w:hAnsi="Abadi"/>
          <w:sz w:val="24"/>
          <w:szCs w:val="24"/>
          <w:lang w:val="en-US"/>
        </w:rPr>
      </w:pPr>
    </w:p>
    <w:tbl>
      <w:tblPr>
        <w:tblW w:w="10080" w:type="dxa"/>
        <w:tblBorders>
          <w:top w:val="single" w:sz="4" w:space="0" w:color="999999"/>
          <w:left w:val="single" w:sz="4" w:space="0" w:color="999999"/>
          <w:bottom w:val="single" w:sz="4" w:space="0" w:color="999999"/>
          <w:right w:val="single" w:sz="4" w:space="0" w:color="999999"/>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80"/>
      </w:tblGrid>
      <w:tr w:rsidR="00DF147D" w:rsidRPr="00FF37C1" w14:paraId="2663A6AC" w14:textId="77777777">
        <w:tblPrEx>
          <w:tblCellMar>
            <w:top w:w="0" w:type="dxa"/>
            <w:bottom w:w="0" w:type="dxa"/>
          </w:tblCellMar>
        </w:tblPrEx>
        <w:tc>
          <w:tcPr>
            <w:tcW w:w="10080" w:type="dxa"/>
            <w:tcBorders>
              <w:top w:val="none" w:sz="0" w:space="0" w:color="FFFFFF"/>
              <w:left w:val="none" w:sz="0" w:space="0" w:color="FFFFFF"/>
              <w:bottom w:val="none" w:sz="0" w:space="0" w:color="FFFFFF"/>
              <w:right w:val="none" w:sz="0" w:space="0" w:color="FFFFFF"/>
            </w:tcBorders>
            <w:shd w:val="clear" w:color="auto" w:fill="E8E8E8"/>
            <w:tcMar>
              <w:top w:w="80" w:type="dxa"/>
              <w:left w:w="160" w:type="dxa"/>
              <w:bottom w:w="80" w:type="dxa"/>
              <w:right w:w="160" w:type="dxa"/>
            </w:tcMar>
          </w:tcPr>
          <w:p w14:paraId="369C5488" w14:textId="77777777" w:rsidR="00DF147D" w:rsidRPr="00FF37C1" w:rsidRDefault="00000000" w:rsidP="00A7547F">
            <w:pPr>
              <w:ind w:right="-90"/>
              <w:jc w:val="both"/>
              <w:rPr>
                <w:rFonts w:ascii="Abadi" w:hAnsi="Abadi"/>
                <w:sz w:val="24"/>
                <w:szCs w:val="24"/>
                <w:lang w:val="en-US"/>
              </w:rPr>
            </w:pPr>
            <w:r>
              <w:rPr>
                <w:rFonts w:ascii="Segoe UI Symbol" w:eastAsia="Calibri" w:hAnsi="Segoe UI Symbol" w:cs="Segoe UI Symbol"/>
                <w:b/>
                <w:bCs/>
                <w:color w:val="CC0000"/>
                <w:sz w:val="24"/>
                <w:szCs w:val="24"/>
                <w:lang w:val="en-US"/>
              </w:rPr>
              <w:t>⚠</w:t>
            </w:r>
            <w:r>
              <w:rPr>
                <w:rFonts w:ascii="Abadi" w:eastAsia="Calibri" w:hAnsi="Abadi" w:cs="Calibri"/>
                <w:b/>
                <w:bCs/>
                <w:color w:val="CC0000"/>
                <w:sz w:val="24"/>
                <w:szCs w:val="24"/>
                <w:lang w:val="en-US"/>
              </w:rPr>
              <w:t xml:space="preserve"> </w:t>
            </w:r>
            <w:r>
              <w:rPr>
                <w:rFonts w:ascii="Abadi" w:eastAsia="Calibri" w:hAnsi="Abadi" w:cs="Calibri"/>
                <w:b/>
                <w:bCs/>
                <w:color w:val="1A1A1A"/>
                <w:sz w:val="24"/>
                <w:szCs w:val="24"/>
                <w:lang w:val="en-US"/>
              </w:rPr>
              <w:t>STRATEGIC MILESTONE: CAPTURE OF MADURO (JAN. 2026)</w:t>
            </w:r>
          </w:p>
        </w:tc>
      </w:tr>
      <w:tr w:rsidR="00DF147D" w:rsidRPr="00FF37C1" w14:paraId="3F208C34" w14:textId="77777777">
        <w:tblPrEx>
          <w:tblCellMar>
            <w:top w:w="0" w:type="dxa"/>
            <w:bottom w:w="0" w:type="dxa"/>
          </w:tblCellMar>
        </w:tblPrEx>
        <w:tc>
          <w:tcPr>
            <w:tcW w:w="10080" w:type="dxa"/>
            <w:tcBorders>
              <w:top w:val="none" w:sz="0" w:space="0" w:color="FFFFFF"/>
              <w:left w:val="none" w:sz="0" w:space="0" w:color="FFFFFF"/>
              <w:bottom w:val="none" w:sz="0" w:space="0" w:color="FFFFFF"/>
              <w:right w:val="none" w:sz="0" w:space="0" w:color="FFFFFF"/>
            </w:tcBorders>
            <w:shd w:val="clear" w:color="auto" w:fill="F5F5F5"/>
            <w:tcMar>
              <w:top w:w="40" w:type="dxa"/>
              <w:left w:w="200" w:type="dxa"/>
              <w:bottom w:w="40" w:type="dxa"/>
              <w:right w:w="160" w:type="dxa"/>
            </w:tcMar>
          </w:tcPr>
          <w:p w14:paraId="398D2D2B" w14:textId="77777777" w:rsidR="00A7547F" w:rsidRPr="00A7547F" w:rsidRDefault="00A7547F" w:rsidP="00A7547F">
            <w:pPr>
              <w:pStyle w:val="Prrafodelista"/>
              <w:ind w:left="720" w:right="-90"/>
              <w:jc w:val="both"/>
              <w:rPr>
                <w:rFonts w:ascii="Abadi" w:hAnsi="Abadi"/>
                <w:sz w:val="24"/>
                <w:szCs w:val="24"/>
                <w:lang w:val="en-US"/>
              </w:rPr>
            </w:pPr>
          </w:p>
          <w:p w14:paraId="57FDCFFA" w14:textId="272E62B3" w:rsidR="00DF147D" w:rsidRPr="00A7547F" w:rsidRDefault="00000000" w:rsidP="00A7547F">
            <w:pPr>
              <w:pStyle w:val="Prrafodelista"/>
              <w:numPr>
                <w:ilvl w:val="0"/>
                <w:numId w:val="2"/>
              </w:numPr>
              <w:ind w:right="-90"/>
              <w:jc w:val="both"/>
              <w:rPr>
                <w:rFonts w:ascii="Abadi" w:hAnsi="Abadi"/>
                <w:sz w:val="24"/>
                <w:szCs w:val="24"/>
                <w:lang w:val="en-US"/>
              </w:rPr>
            </w:pPr>
            <w:r>
              <w:rPr>
                <w:rFonts w:ascii="Abadi" w:eastAsia="Calibri" w:hAnsi="Abadi" w:cs="Calibri"/>
                <w:color w:val="1A1A1A"/>
                <w:sz w:val="24"/>
                <w:szCs w:val="24"/>
                <w:lang w:val="en-US"/>
              </w:rPr>
              <w:t>Maduro detained on January 3, 2026 in a joint DEA/U.S. Special Forces operation. Currently held in New York on drug trafficking charges (SDNY Court).</w:t>
            </w:r>
          </w:p>
        </w:tc>
      </w:tr>
      <w:tr w:rsidR="00DF147D" w:rsidRPr="00A7547F" w14:paraId="0B01D91B" w14:textId="77777777">
        <w:tblPrEx>
          <w:tblCellMar>
            <w:top w:w="0" w:type="dxa"/>
            <w:bottom w:w="0" w:type="dxa"/>
          </w:tblCellMar>
        </w:tblPrEx>
        <w:tc>
          <w:tcPr>
            <w:tcW w:w="10080" w:type="dxa"/>
            <w:tcBorders>
              <w:top w:val="none" w:sz="0" w:space="0" w:color="FFFFFF"/>
              <w:left w:val="none" w:sz="0" w:space="0" w:color="FFFFFF"/>
              <w:bottom w:val="none" w:sz="0" w:space="0" w:color="FFFFFF"/>
              <w:right w:val="none" w:sz="0" w:space="0" w:color="FFFFFF"/>
            </w:tcBorders>
            <w:shd w:val="clear" w:color="auto" w:fill="F5F5F5"/>
            <w:tcMar>
              <w:top w:w="40" w:type="dxa"/>
              <w:left w:w="200" w:type="dxa"/>
              <w:bottom w:w="40" w:type="dxa"/>
              <w:right w:w="160" w:type="dxa"/>
            </w:tcMar>
          </w:tcPr>
          <w:p w14:paraId="5EAF6D52" w14:textId="485D36AE" w:rsidR="00DF147D" w:rsidRPr="00A7547F" w:rsidRDefault="00000000" w:rsidP="00A7547F">
            <w:pPr>
              <w:pStyle w:val="Prrafodelista"/>
              <w:numPr>
                <w:ilvl w:val="0"/>
                <w:numId w:val="2"/>
              </w:numPr>
              <w:ind w:right="-90"/>
              <w:jc w:val="both"/>
              <w:rPr>
                <w:rFonts w:ascii="Abadi" w:hAnsi="Abadi"/>
                <w:sz w:val="24"/>
                <w:szCs w:val="24"/>
                <w:lang w:val="en-US"/>
              </w:rPr>
            </w:pPr>
            <w:r>
              <w:rPr>
                <w:rFonts w:ascii="Abadi" w:eastAsia="Calibri" w:hAnsi="Abadi" w:cs="Calibri"/>
                <w:color w:val="1A1A1A"/>
                <w:sz w:val="24"/>
                <w:szCs w:val="24"/>
                <w:lang w:val="en-US"/>
              </w:rPr>
              <w:lastRenderedPageBreak/>
              <w:t>The operation dismantled the Cuban parallel security apparatus (Praetorian Guard). ~40 Cuban operatives killed according to regional intelligence sources.</w:t>
            </w:r>
          </w:p>
        </w:tc>
      </w:tr>
      <w:tr w:rsidR="00DF147D" w:rsidRPr="00FF37C1" w14:paraId="5418B2BC" w14:textId="77777777">
        <w:tblPrEx>
          <w:tblCellMar>
            <w:top w:w="0" w:type="dxa"/>
            <w:bottom w:w="0" w:type="dxa"/>
          </w:tblCellMar>
        </w:tblPrEx>
        <w:tc>
          <w:tcPr>
            <w:tcW w:w="10080" w:type="dxa"/>
            <w:tcBorders>
              <w:top w:val="none" w:sz="0" w:space="0" w:color="FFFFFF"/>
              <w:left w:val="none" w:sz="0" w:space="0" w:color="FFFFFF"/>
              <w:bottom w:val="none" w:sz="0" w:space="0" w:color="FFFFFF"/>
              <w:right w:val="none" w:sz="0" w:space="0" w:color="FFFFFF"/>
            </w:tcBorders>
            <w:shd w:val="clear" w:color="auto" w:fill="F5F5F5"/>
            <w:tcMar>
              <w:top w:w="40" w:type="dxa"/>
              <w:left w:w="200" w:type="dxa"/>
              <w:bottom w:w="40" w:type="dxa"/>
              <w:right w:w="160" w:type="dxa"/>
            </w:tcMar>
          </w:tcPr>
          <w:p w14:paraId="60F28D04" w14:textId="60D88EF7" w:rsidR="00DF147D" w:rsidRPr="00A7547F" w:rsidRDefault="00000000" w:rsidP="00A7547F">
            <w:pPr>
              <w:pStyle w:val="Prrafodelista"/>
              <w:numPr>
                <w:ilvl w:val="0"/>
                <w:numId w:val="2"/>
              </w:numPr>
              <w:ind w:right="-90"/>
              <w:jc w:val="both"/>
              <w:rPr>
                <w:rFonts w:ascii="Abadi" w:hAnsi="Abadi"/>
                <w:sz w:val="24"/>
                <w:szCs w:val="24"/>
                <w:lang w:val="en-US"/>
              </w:rPr>
            </w:pPr>
            <w:r>
              <w:rPr>
                <w:rFonts w:ascii="Abadi" w:eastAsia="Calibri" w:hAnsi="Abadi" w:cs="Calibri"/>
                <w:color w:val="1A1A1A"/>
                <w:sz w:val="24"/>
                <w:szCs w:val="24"/>
                <w:lang w:val="en-US"/>
              </w:rPr>
              <w:t>The FANB offered no organized resistance, validating prior estimates of institutional loyalty erosion following the 2019-2024 crisis.</w:t>
            </w:r>
          </w:p>
        </w:tc>
      </w:tr>
      <w:tr w:rsidR="00DF147D" w:rsidRPr="00FF37C1" w14:paraId="2303C55C" w14:textId="77777777">
        <w:tblPrEx>
          <w:tblCellMar>
            <w:top w:w="0" w:type="dxa"/>
            <w:bottom w:w="0" w:type="dxa"/>
          </w:tblCellMar>
        </w:tblPrEx>
        <w:tc>
          <w:tcPr>
            <w:tcW w:w="10080" w:type="dxa"/>
            <w:tcBorders>
              <w:top w:val="none" w:sz="0" w:space="0" w:color="FFFFFF"/>
              <w:left w:val="none" w:sz="0" w:space="0" w:color="FFFFFF"/>
              <w:bottom w:val="none" w:sz="0" w:space="0" w:color="FFFFFF"/>
              <w:right w:val="none" w:sz="0" w:space="0" w:color="FFFFFF"/>
            </w:tcBorders>
            <w:shd w:val="clear" w:color="auto" w:fill="F5F5F5"/>
            <w:tcMar>
              <w:top w:w="40" w:type="dxa"/>
              <w:left w:w="200" w:type="dxa"/>
              <w:bottom w:w="40" w:type="dxa"/>
              <w:right w:w="160" w:type="dxa"/>
            </w:tcMar>
          </w:tcPr>
          <w:p w14:paraId="528DBFCC" w14:textId="4C3AEFF5" w:rsidR="00DF147D" w:rsidRPr="00A7547F" w:rsidRDefault="00000000" w:rsidP="00A7547F">
            <w:pPr>
              <w:pStyle w:val="Prrafodelista"/>
              <w:numPr>
                <w:ilvl w:val="0"/>
                <w:numId w:val="2"/>
              </w:numPr>
              <w:ind w:right="-90"/>
              <w:jc w:val="both"/>
              <w:rPr>
                <w:rFonts w:ascii="Abadi" w:hAnsi="Abadi"/>
                <w:sz w:val="24"/>
                <w:szCs w:val="24"/>
                <w:lang w:val="en-US"/>
              </w:rPr>
            </w:pPr>
            <w:r>
              <w:rPr>
                <w:rFonts w:ascii="Abadi" w:eastAsia="Calibri" w:hAnsi="Abadi" w:cs="Calibri"/>
                <w:color w:val="1A1A1A"/>
                <w:sz w:val="24"/>
                <w:szCs w:val="24"/>
                <w:lang w:val="en-US"/>
              </w:rPr>
              <w:t>Immediate effect: accelerated recognition of the transition by Venezuela's major trade partners including China and Russia.</w:t>
            </w:r>
          </w:p>
        </w:tc>
      </w:tr>
    </w:tbl>
    <w:p w14:paraId="62B72280" w14:textId="77777777" w:rsidR="00DF147D" w:rsidRPr="00FF37C1" w:rsidRDefault="00DF147D" w:rsidP="00A7547F">
      <w:pPr>
        <w:ind w:right="-90"/>
        <w:jc w:val="both"/>
        <w:rPr>
          <w:rFonts w:ascii="Abadi" w:hAnsi="Abadi"/>
          <w:sz w:val="24"/>
          <w:szCs w:val="24"/>
          <w:lang w:val="en-US"/>
        </w:rPr>
      </w:pPr>
    </w:p>
    <w:p w14:paraId="26B37EAA" w14:textId="77777777" w:rsidR="00DF147D" w:rsidRPr="00FF37C1" w:rsidRDefault="00000000" w:rsidP="00A7547F">
      <w:pPr>
        <w:pBdr>
          <w:bottom w:val="single" w:sz="6" w:space="0" w:color="CC0000"/>
        </w:pBdr>
        <w:ind w:right="-90"/>
        <w:jc w:val="both"/>
        <w:rPr>
          <w:rFonts w:ascii="Abadi" w:hAnsi="Abadi"/>
          <w:sz w:val="24"/>
          <w:szCs w:val="24"/>
          <w:lang w:val="en-US"/>
        </w:rPr>
      </w:pPr>
      <w:r>
        <w:rPr>
          <w:rFonts w:ascii="Abadi" w:eastAsia="Calibri" w:hAnsi="Abadi" w:cs="Calibri"/>
          <w:b/>
          <w:bCs/>
          <w:color w:val="1A1A1A"/>
          <w:sz w:val="24"/>
          <w:szCs w:val="24"/>
          <w:lang w:val="en-US"/>
        </w:rPr>
        <w:t>2.3  Current Status of the Transition (October 2026)</w:t>
      </w:r>
    </w:p>
    <w:p w14:paraId="04BA4D7B" w14:textId="77777777" w:rsidR="00A7547F" w:rsidRDefault="00A7547F" w:rsidP="00A7547F">
      <w:pPr>
        <w:ind w:right="-90" w:firstLine="720"/>
        <w:jc w:val="both"/>
        <w:rPr>
          <w:rFonts w:ascii="Abadi" w:eastAsia="Calibri" w:hAnsi="Abadi" w:cs="Calibri"/>
          <w:color w:val="1A1A1A"/>
          <w:sz w:val="24"/>
          <w:szCs w:val="24"/>
          <w:lang w:val="en-US"/>
        </w:rPr>
      </w:pPr>
    </w:p>
    <w:p w14:paraId="4F0F0464" w14:textId="3ECC1976" w:rsidR="00DF147D" w:rsidRDefault="00000000" w:rsidP="00A7547F">
      <w:pPr>
        <w:ind w:right="-90" w:firstLine="720"/>
        <w:jc w:val="both"/>
        <w:rPr>
          <w:rFonts w:ascii="Abadi" w:eastAsia="Calibri" w:hAnsi="Abadi" w:cs="Calibri"/>
          <w:color w:val="1A1A1A"/>
          <w:sz w:val="24"/>
          <w:szCs w:val="24"/>
          <w:lang w:val="en-US"/>
        </w:rPr>
      </w:pPr>
      <w:r>
        <w:rPr>
          <w:rFonts w:ascii="Abadi" w:eastAsia="Calibri" w:hAnsi="Abadi" w:cs="Calibri"/>
          <w:color w:val="1A1A1A"/>
          <w:sz w:val="24"/>
          <w:szCs w:val="24"/>
          <w:lang w:val="en-US"/>
        </w:rPr>
        <w:t xml:space="preserve">As of October 2026, Venezuela operates under a de facto transitional government that combines elements of the democratic opposition with reformist sectors of the Armed Forces. The negotiation process, mediated by Norway and with the participation of Brazil and Colombia, has produced partial agreements on the electoral timetable and the institutional architecture of the State.</w:t>
      </w:r>
    </w:p>
    <w:p w14:paraId="4A0094E2" w14:textId="77777777" w:rsidR="00A7547F" w:rsidRPr="00FF37C1" w:rsidRDefault="00A7547F" w:rsidP="00A7547F">
      <w:pPr>
        <w:ind w:right="-90" w:firstLine="720"/>
        <w:jc w:val="both"/>
        <w:rPr>
          <w:rFonts w:ascii="Abadi" w:hAnsi="Abadi"/>
          <w:sz w:val="24"/>
          <w:szCs w:val="24"/>
          <w:lang w:val="en-US"/>
        </w:rPr>
      </w:pPr>
    </w:p>
    <w:tbl>
      <w:tblPr>
        <w:tblW w:w="10165" w:type="dxa"/>
        <w:tblBorders>
          <w:top w:val="single" w:sz="4" w:space="0" w:color="999999"/>
          <w:left w:val="single" w:sz="4" w:space="0" w:color="999999"/>
          <w:bottom w:val="single" w:sz="4" w:space="0" w:color="999999"/>
          <w:right w:val="single" w:sz="4" w:space="0" w:color="999999"/>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360"/>
        <w:gridCol w:w="3360"/>
        <w:gridCol w:w="3445"/>
      </w:tblGrid>
      <w:tr w:rsidR="00DF147D" w:rsidRPr="00A7547F" w14:paraId="42C6AE2F" w14:textId="77777777" w:rsidTr="00A7547F">
        <w:tblPrEx>
          <w:tblCellMar>
            <w:top w:w="0" w:type="dxa"/>
            <w:bottom w:w="0" w:type="dxa"/>
          </w:tblCellMar>
        </w:tblPrEx>
        <w:tc>
          <w:tcPr>
            <w:tcW w:w="3360"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0E2858DB" w14:textId="77777777" w:rsidR="00DF147D" w:rsidRPr="00A7547F" w:rsidRDefault="00000000" w:rsidP="00A7547F">
            <w:pPr>
              <w:ind w:right="-90"/>
              <w:jc w:val="center"/>
              <w:rPr>
                <w:rFonts w:ascii="Abadi" w:hAnsi="Abadi"/>
                <w:sz w:val="22"/>
                <w:szCs w:val="22"/>
                <w:lang w:val="en-US"/>
              </w:rPr>
            </w:pPr>
            <w:r>
              <w:rPr>
                <w:rFonts w:ascii="Abadi" w:eastAsia="Calibri" w:hAnsi="Abadi" w:cs="Calibri"/>
                <w:b/>
                <w:bCs/>
                <w:color w:val="FFFFFF"/>
                <w:sz w:val="22"/>
                <w:szCs w:val="22"/>
                <w:lang w:val="en-US"/>
              </w:rPr>
              <w:t>Dimension</w:t>
            </w:r>
          </w:p>
        </w:tc>
        <w:tc>
          <w:tcPr>
            <w:tcW w:w="3360"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3CE58BF2" w14:textId="77777777" w:rsidR="00DF147D" w:rsidRPr="00A7547F" w:rsidRDefault="00000000" w:rsidP="00A7547F">
            <w:pPr>
              <w:ind w:right="-90"/>
              <w:jc w:val="center"/>
              <w:rPr>
                <w:rFonts w:ascii="Abadi" w:hAnsi="Abadi"/>
                <w:sz w:val="22"/>
                <w:szCs w:val="22"/>
                <w:lang w:val="en-US"/>
              </w:rPr>
            </w:pPr>
            <w:r>
              <w:rPr>
                <w:rFonts w:ascii="Abadi" w:eastAsia="Calibri" w:hAnsi="Abadi" w:cs="Calibri"/>
                <w:b/>
                <w:bCs/>
                <w:color w:val="FFFFFF"/>
                <w:sz w:val="22"/>
                <w:szCs w:val="22"/>
                <w:lang w:val="en-US"/>
              </w:rPr>
              <w:t>Status (Oct. 2026)</w:t>
            </w:r>
          </w:p>
        </w:tc>
        <w:tc>
          <w:tcPr>
            <w:tcW w:w="3445"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4D369A34" w14:textId="77777777" w:rsidR="00DF147D" w:rsidRPr="00A7547F" w:rsidRDefault="00000000" w:rsidP="00A7547F">
            <w:pPr>
              <w:ind w:right="-90"/>
              <w:jc w:val="center"/>
              <w:rPr>
                <w:rFonts w:ascii="Abadi" w:hAnsi="Abadi"/>
                <w:sz w:val="22"/>
                <w:szCs w:val="22"/>
                <w:lang w:val="en-US"/>
              </w:rPr>
            </w:pPr>
            <w:r>
              <w:rPr>
                <w:rFonts w:ascii="Abadi" w:eastAsia="Calibri" w:hAnsi="Abadi" w:cs="Calibri"/>
                <w:b/>
                <w:bCs/>
                <w:color w:val="FFFFFF"/>
                <w:sz w:val="22"/>
                <w:szCs w:val="22"/>
                <w:lang w:val="en-US"/>
              </w:rPr>
              <w:t>Primary Risk</w:t>
            </w:r>
          </w:p>
        </w:tc>
      </w:tr>
      <w:tr w:rsidR="00DF147D" w:rsidRPr="00A7547F" w14:paraId="62A1ECDC" w14:textId="77777777" w:rsidTr="00A7547F">
        <w:tblPrEx>
          <w:tblCellMar>
            <w:top w:w="0" w:type="dxa"/>
            <w:bottom w:w="0" w:type="dxa"/>
          </w:tblCellMar>
        </w:tblPrEx>
        <w:tc>
          <w:tcPr>
            <w:tcW w:w="336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5B150D20"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Constitutional Framework</w:t>
            </w:r>
          </w:p>
        </w:tc>
        <w:tc>
          <w:tcPr>
            <w:tcW w:w="336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51A56C7A"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Under review; NA 2015 active as reference</w:t>
            </w:r>
          </w:p>
        </w:tc>
        <w:tc>
          <w:tcPr>
            <w:tcW w:w="3445"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523F54B8"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Institutional legitimacy disputes</w:t>
            </w:r>
          </w:p>
        </w:tc>
      </w:tr>
      <w:tr w:rsidR="00DF147D" w:rsidRPr="00A7547F" w14:paraId="51BB0E7E" w14:textId="77777777" w:rsidTr="00A7547F">
        <w:tblPrEx>
          <w:tblCellMar>
            <w:top w:w="0" w:type="dxa"/>
            <w:bottom w:w="0" w:type="dxa"/>
          </w:tblCellMar>
        </w:tblPrEx>
        <w:tc>
          <w:tcPr>
            <w:tcW w:w="336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7908A1D7"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Electoral Timeline</w:t>
            </w:r>
          </w:p>
        </w:tc>
        <w:tc>
          <w:tcPr>
            <w:tcW w:w="336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5B35A0DA"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Presidential elections scheduled 2027-2028</w:t>
            </w:r>
          </w:p>
        </w:tc>
        <w:tc>
          <w:tcPr>
            <w:tcW w:w="3445"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3368ACD4"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Opposition fragmentation, partial agreements</w:t>
            </w:r>
          </w:p>
        </w:tc>
      </w:tr>
      <w:tr w:rsidR="00DF147D" w:rsidRPr="00A7547F" w14:paraId="2D18889C" w14:textId="77777777" w:rsidTr="00A7547F">
        <w:tblPrEx>
          <w:tblCellMar>
            <w:top w:w="0" w:type="dxa"/>
            <w:bottom w:w="0" w:type="dxa"/>
          </w:tblCellMar>
        </w:tblPrEx>
        <w:tc>
          <w:tcPr>
            <w:tcW w:w="336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1027CA93"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Territorial Control</w:t>
            </w:r>
          </w:p>
        </w:tc>
        <w:tc>
          <w:tcPr>
            <w:tcW w:w="336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619311DD"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Reformist FANB + active local militias</w:t>
            </w:r>
          </w:p>
        </w:tc>
        <w:tc>
          <w:tcPr>
            <w:tcW w:w="3445"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6221286B"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Grey zones: Apure, Bolívar, Amazonas</w:t>
            </w:r>
          </w:p>
        </w:tc>
      </w:tr>
      <w:tr w:rsidR="00DF147D" w:rsidRPr="00A7547F" w14:paraId="5AA25383" w14:textId="77777777" w:rsidTr="00A7547F">
        <w:tblPrEx>
          <w:tblCellMar>
            <w:top w:w="0" w:type="dxa"/>
            <w:bottom w:w="0" w:type="dxa"/>
          </w:tblCellMar>
        </w:tblPrEx>
        <w:tc>
          <w:tcPr>
            <w:tcW w:w="336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213D8631"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U.S. Relations</w:t>
            </w:r>
          </w:p>
        </w:tc>
        <w:tc>
          <w:tcPr>
            <w:tcW w:w="336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5051BE25"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Normalized; energy agreement operative</w:t>
            </w:r>
          </w:p>
        </w:tc>
        <w:tc>
          <w:tcPr>
            <w:tcW w:w="3445"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6AF8820E"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Pending political conditionality</w:t>
            </w:r>
          </w:p>
        </w:tc>
      </w:tr>
      <w:tr w:rsidR="00DF147D" w:rsidRPr="00A7547F" w14:paraId="07183AA1" w14:textId="77777777" w:rsidTr="00A7547F">
        <w:tblPrEx>
          <w:tblCellMar>
            <w:top w:w="0" w:type="dxa"/>
            <w:bottom w:w="0" w:type="dxa"/>
          </w:tblCellMar>
        </w:tblPrEx>
        <w:tc>
          <w:tcPr>
            <w:tcW w:w="336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206AAF52"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External Debt</w:t>
            </w:r>
          </w:p>
        </w:tc>
        <w:tc>
          <w:tcPr>
            <w:tcW w:w="336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37D49164"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En reestructuración; &gt;$150B pasivos totales</w:t>
            </w:r>
          </w:p>
        </w:tc>
        <w:tc>
          <w:tcPr>
            <w:tcW w:w="3445"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70DA706F"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China: acreedor principal (&gt;$60B estimados)</w:t>
            </w:r>
          </w:p>
        </w:tc>
      </w:tr>
      <w:tr w:rsidR="00DF147D" w:rsidRPr="00A7547F" w14:paraId="2E57A134" w14:textId="77777777" w:rsidTr="00A7547F">
        <w:tblPrEx>
          <w:tblCellMar>
            <w:top w:w="0" w:type="dxa"/>
            <w:bottom w:w="0" w:type="dxa"/>
          </w:tblCellMar>
        </w:tblPrEx>
        <w:tc>
          <w:tcPr>
            <w:tcW w:w="336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478DDFF8"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Media and Human Rights</w:t>
            </w:r>
          </w:p>
        </w:tc>
        <w:tc>
          <w:tcPr>
            <w:tcW w:w="336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28D610C0"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Partial opening; restrictions persist</w:t>
            </w:r>
          </w:p>
        </w:tc>
        <w:tc>
          <w:tcPr>
            <w:tcW w:w="3445"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374D5F8E"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Pressure from international organizations</w:t>
            </w:r>
          </w:p>
        </w:tc>
      </w:tr>
    </w:tbl>
    <w:p w14:paraId="72D020D4" w14:textId="77777777" w:rsidR="00DF147D" w:rsidRPr="00FF37C1" w:rsidRDefault="00DF147D" w:rsidP="00A7547F">
      <w:pPr>
        <w:ind w:right="-90"/>
        <w:jc w:val="both"/>
        <w:rPr>
          <w:rFonts w:ascii="Abadi" w:hAnsi="Abadi"/>
          <w:sz w:val="24"/>
          <w:szCs w:val="24"/>
        </w:rPr>
      </w:pPr>
    </w:p>
    <w:p w14:paraId="35885629" w14:textId="77777777" w:rsidR="00DF147D" w:rsidRDefault="00000000" w:rsidP="00A7547F">
      <w:pPr>
        <w:ind w:right="-90" w:firstLine="720"/>
        <w:jc w:val="both"/>
        <w:rPr>
          <w:rFonts w:ascii="Abadi" w:eastAsia="Calibri" w:hAnsi="Abadi" w:cs="Calibri"/>
          <w:color w:val="1A1A1A"/>
          <w:sz w:val="24"/>
          <w:szCs w:val="24"/>
          <w:lang w:val="en-US"/>
        </w:rPr>
      </w:pPr>
      <w:r>
        <w:rPr>
          <w:rFonts w:ascii="Abadi" w:eastAsia="Calibri" w:hAnsi="Abadi" w:cs="Calibri"/>
          <w:color w:val="1A1A1A"/>
          <w:sz w:val="24"/>
          <w:szCs w:val="24"/>
          <w:lang w:val="en-US"/>
        </w:rPr>
        <w:t>The Venezuelan opposition has called national marches to demand presidential elections in 2027, while transitional government negotiators have proposed a 12-18 month timeline for designing the new electoral framework. The most analytically credible sources (Crisis Group, Human Rights Watch, WOLA) indicate that the risk of a "quagmire" — a transition without defined elections or institutionalization — is the most likely short-term scenario.</w:t>
      </w:r>
    </w:p>
    <w:p w14:paraId="10000001" w14:textId="10000002" w:rsidR="00A7547F" w:rsidRDefault="00A7547F" w:rsidP="00A7547F">
      <w:pPr>
        <w:ind w:right="-90" w:firstLine="720"/>
        <w:jc w:val="both"/>
        <w:rPr>
          <w:rFonts w:ascii="Abadi" w:eastAsia="Calibri" w:hAnsi="Abadi" w:cs="Calibri"/>
          <w:color w:val="1A1A1A"/>
          <w:sz w:val="24"/>
          <w:szCs w:val="24"/>
          <w:lang w:val="en-US"/>
        </w:rPr>
      </w:pPr>
    </w:p>
    <w:p w14:paraId="10000003" w14:textId="10000004" w:rsidR="00DF147D" w:rsidRPr="00FF37C1" w:rsidRDefault="00000000" w:rsidP="00A7547F">
      <w:pPr>
        <w:pBdr>
          <w:bottom w:val="single" w:sz="6" w:space="0" w:color="CC0000"/>
        </w:pBdr>
        <w:ind w:right="-90"/>
        <w:jc w:val="both"/>
        <w:rPr>
          <w:rFonts w:ascii="Abadi" w:hAnsi="Abadi"/>
          <w:sz w:val="24"/>
          <w:szCs w:val="24"/>
          <w:lang w:val="en-US"/>
        </w:rPr>
      </w:pPr>
      <w:r>
        <w:rPr>
          <w:rFonts w:ascii="Abadi" w:eastAsia="Calibri" w:hAnsi="Abadi" w:cs="Calibri"/>
          <w:b/>
          <w:bCs/>
          <w:color w:val="1A1A1A"/>
          <w:sz w:val="24"/>
          <w:szCs w:val="24"/>
          <w:lang w:val="en-US"/>
        </w:rPr>
        <w:t>2.4  The Return of María Corina Machado and the Acceleration of the Transition (10/25/2026)</w:t>
      </w:r>
    </w:p>
    <w:p w14:paraId="10000005" w14:textId="10000006" w:rsidR="00DF147D" w:rsidRDefault="00000000" w:rsidP="00A7547F">
      <w:pPr>
        <w:ind w:right="-90" w:firstLine="720"/>
        <w:jc w:val="both"/>
        <w:rPr>
          <w:rFonts w:ascii="Abadi" w:eastAsia="Calibri" w:hAnsi="Abadi" w:cs="Calibri"/>
          <w:color w:val="1A1A1A"/>
          <w:sz w:val="24"/>
          <w:szCs w:val="24"/>
          <w:lang w:val="en-US"/>
        </w:rPr>
      </w:pPr>
      <w:r>
        <w:rPr>
          <w:rFonts w:ascii="Abadi" w:eastAsia="Calibri" w:hAnsi="Abadi" w:cs="Calibri"/>
          <w:color w:val="1A1A1A"/>
          <w:sz w:val="24"/>
          <w:szCs w:val="24"/>
          <w:lang w:val="en-US"/>
        </w:rPr>
        <w:t xml:space="preserve">On October 25, 2026 — a date that will go down in the annals of contemporary Venezuelan political history — María Corina Machado returned to Venezuela after ten months of forced exile. Her return was confirmed through a post on X (formerly Twitter): "I am here. With you," accompanied by images that place her at the church of Santa Rosa in Barquisimeto, Lara state. This return closes a cycle of seven failed return attempts between June and September 2026, systematically blocked by the Maduro regime through intimidation and obstruction at the country's air, sea, and land ports of entry.</w:t>
      </w:r>
    </w:p>
    <w:p w14:paraId="10000007" w14:textId="10000008" w:rsidR="00DF147D" w:rsidRDefault="00000000" w:rsidP="00A7547F">
      <w:pPr>
        <w:ind w:right="-90" w:firstLine="720"/>
        <w:jc w:val="both"/>
        <w:rPr>
          <w:rFonts w:ascii="Abadi" w:eastAsia="Calibri" w:hAnsi="Abadi" w:cs="Calibri"/>
          <w:color w:val="1A1A1A"/>
          <w:sz w:val="24"/>
          <w:szCs w:val="24"/>
          <w:lang w:val="en-US"/>
        </w:rPr>
      </w:pPr>
      <w:r>
        <w:rPr>
          <w:rFonts w:ascii="Abadi" w:eastAsia="Calibri" w:hAnsi="Abadi" w:cs="Calibri"/>
          <w:b/>
          <w:bCs/>
          <w:color w:val="1A1A1A"/>
          <w:sz w:val="24"/>
          <w:szCs w:val="24"/>
          <w:lang w:val="en-US"/>
        </w:rPr>
        <w:t xml:space="preserve">Clandestine Exile and Departure from Venezuela. </w:t>
      </w:r>
      <w:r>
        <w:rPr>
          <w:rFonts w:ascii="Abadi" w:eastAsia="Calibri" w:hAnsi="Abadi" w:cs="Calibri"/>
          <w:color w:val="1A1A1A"/>
          <w:sz w:val="24"/>
          <w:szCs w:val="24"/>
          <w:lang w:val="en-US"/>
        </w:rPr>
        <w:t xml:space="preserve">Her departure from the country in December 2025 was a high personal-risk operation: Machado left Venezuela in disguise, on a ten-hour road trip to the coast of Falcón state, where she crossed the Caribbean Sea in a precarious wooden vessel to Curaçao, amid of a rough sea. During that crossing she suffered a vertebral fracture that required specialized medical attention abroad. Faced with the regime's refusal to renew her passport — a deliberate instrument of migratory control and political pressure — Panama issued her a special travel document that allowed her to operate internationally from exile.</w:t>
      </w:r>
    </w:p>
    <w:p w14:paraId="10000009" w14:textId="1000000A" w:rsidR="00DF147D" w:rsidRDefault="00000000" w:rsidP="00A7547F">
      <w:pPr>
        <w:ind w:right="-90" w:firstLine="720"/>
        <w:jc w:val="both"/>
        <w:rPr>
          <w:rFonts w:ascii="Abadi" w:eastAsia="Calibri" w:hAnsi="Abadi" w:cs="Calibri"/>
          <w:color w:val="1A1A1A"/>
          <w:sz w:val="24"/>
          <w:szCs w:val="24"/>
          <w:lang w:val="en-US"/>
        </w:rPr>
      </w:pPr>
      <w:r>
        <w:rPr>
          <w:rFonts w:ascii="Abadi" w:eastAsia="Calibri" w:hAnsi="Abadi" w:cs="Calibri"/>
          <w:b/>
          <w:bCs/>
          <w:color w:val="1A1A1A"/>
          <w:sz w:val="24"/>
          <w:szCs w:val="24"/>
          <w:lang w:val="en-US"/>
        </w:rPr>
        <w:t xml:space="preserve">Washington Backs the Return in an Explicit and Unequivocal Manner. </w:t>
      </w:r>
      <w:r>
        <w:rPr>
          <w:rFonts w:ascii="Abadi" w:eastAsia="Calibri" w:hAnsi="Abadi" w:cs="Calibri"/>
          <w:color w:val="1A1A1A"/>
          <w:sz w:val="24"/>
          <w:szCs w:val="24"/>
          <w:lang w:val="en-US"/>
        </w:rPr>
        <w:t xml:space="preserve">U.S. Secretary of State Marco Rubio described Machado's return as a "direct result of the reconciliation conversations" driven and guaranteed by the Trump administration. Rubio confirmed that since the start of negotiations, more than 1,000 Venezuelan political prisoners have been released, including 177 in the most recent rounds. President Donald Trump stated he hoped Machado was well and safe, describing her as "a very nice woman." The U.S. Embassy now operates with a full staff complement in Caracas — an unequivocal signal of Washington's permanent commitment to the democratic transition process.</w:t>
      </w:r>
    </w:p>
    <w:p w14:paraId="1000000B" w14:textId="1000000C" w:rsidR="00DF147D" w:rsidRDefault="00000000" w:rsidP="00A7547F">
      <w:pPr>
        <w:ind w:right="-90" w:firstLine="720"/>
        <w:jc w:val="both"/>
        <w:rPr>
          <w:rFonts w:ascii="Abadi" w:eastAsia="Calibri" w:hAnsi="Abadi" w:cs="Calibri"/>
          <w:color w:val="1A1A1A"/>
          <w:sz w:val="24"/>
          <w:szCs w:val="24"/>
          <w:lang w:val="en-US"/>
        </w:rPr>
      </w:pPr>
      <w:r>
        <w:rPr>
          <w:rFonts w:ascii="Abadi" w:eastAsia="Calibri" w:hAnsi="Abadi" w:cs="Calibri"/>
          <w:color w:val="1A1A1A"/>
          <w:sz w:val="24"/>
          <w:szCs w:val="24"/>
          <w:lang w:val="en-US"/>
        </w:rPr>
        <w:t xml:space="preserve">Machado's return is embedded in the Three-Phase Plan designed by the Trump administration for Venezuela: (1) political détente and mass release of political prisoners; (2) deep electoral and institutional reforms; (3) free, transparent, and internationally verifiable elections. Her physical presence on Venezuelan territory decisively accelerates the second phase: the next negotiation rounds, scheduled for November 11-15, 2026, will be the first in which the opposition leader participates from within Venezuela. The agenda includes comprehensive reform of the National Electoral Council (CNE), the repeal of Chavismo's most emblematic repressive laws, and the effective opening of political space to all forces in the country.</w:t>
      </w:r>
    </w:p>
    <w:p w14:paraId="1000000D" w14:textId="1000000E" w:rsidR="00DF147D" w:rsidRDefault="00000000" w:rsidP="00A7547F">
      <w:pPr>
        <w:ind w:right="-90" w:firstLine="720"/>
        <w:jc w:val="both"/>
        <w:rPr>
          <w:rFonts w:ascii="Abadi" w:eastAsia="Calibri" w:hAnsi="Abadi" w:cs="Calibri"/>
          <w:color w:val="1A1A1A"/>
          <w:sz w:val="24"/>
          <w:szCs w:val="24"/>
          <w:lang w:val="en-US"/>
        </w:rPr>
      </w:pPr>
      <w:r>
        <w:rPr>
          <w:rFonts w:ascii="Abadi" w:eastAsia="Calibri" w:hAnsi="Abadi" w:cs="Calibri"/>
          <w:b/>
          <w:bCs/>
          <w:color w:val="1A1A1A"/>
          <w:sz w:val="24"/>
          <w:szCs w:val="24"/>
          <w:lang w:val="en-US"/>
        </w:rPr>
        <w:t xml:space="preserve">Economic Signals Linked to the Political Process. </w:t>
      </w:r>
      <w:r>
        <w:rPr>
          <w:rFonts w:ascii="Abadi" w:eastAsia="Calibri" w:hAnsi="Abadi" w:cs="Calibri"/>
          <w:color w:val="1A1A1A"/>
          <w:sz w:val="24"/>
          <w:szCs w:val="24"/>
          <w:lang w:val="en-US"/>
        </w:rPr>
        <w:t xml:space="preserve">In parallel with Machado's return, the U.S. Department of the Treasury removed Venezuela from the outbound investment restriction list, and on October 14, 2026, lifted sanctions on Jorge Rodríguez, president of the National Assembly and a pivotal figure in negotiations from the ruling party's side. These decisions constitute material and verifiable incentives, designed to sustain negotiating momentum and demonstrate that Washington honors its commitments when the regime respects agreed milestones. The message is unequivocal: political progress generates concrete, measurable economic benefits.</w:t>
      </w:r>
    </w:p>
    <w:p w14:paraId="1000000F" w14:textId="10000010" w:rsidR="00DF147D" w:rsidRDefault="00000000" w:rsidP="00A7547F">
      <w:pPr>
        <w:ind w:right="-90" w:firstLine="720"/>
        <w:jc w:val="both"/>
        <w:rPr>
          <w:rFonts w:ascii="Abadi" w:eastAsia="Calibri" w:hAnsi="Abadi" w:cs="Calibri"/>
          <w:color w:val="1A1A1A"/>
          <w:sz w:val="24"/>
          <w:szCs w:val="24"/>
          <w:lang w:val="en-US"/>
        </w:rPr>
      </w:pPr>
      <w:r>
        <w:rPr>
          <w:rFonts w:ascii="Abadi" w:eastAsia="Calibri" w:hAnsi="Abadi" w:cs="Calibri"/>
          <w:color w:val="1A1A1A"/>
          <w:sz w:val="24"/>
          <w:szCs w:val="24"/>
          <w:lang w:val="en-US"/>
        </w:rPr>
        <w:t xml:space="preserve">The Democratic Unitary Platform (PUD) stated that Machado's return must inject renewed and decisive momentum into an opposition that was beginning to show internal fractures due to the prolonged negotiation process. Edmundo González Urrutia, recognized as president-elect by multiple governocratic governments and who exercises that role from exile, expressed being "enthusiastic and hopeful about moving forward together on the path to Venezuela's freedom." The convergence between the country's political leader with the greatest capital and the winning candidate at the July 28 ballot box represents the opposition's greatest negotiating strength since the 2024 electoral fraud.</w:t>
      </w:r>
    </w:p>
    <w:p w14:paraId="10000011" w14:textId="10000012" w:rsidR="00A7547F" w:rsidRDefault="00A7547F" w:rsidP="00A7547F">
      <w:pPr>
        <w:ind w:right="-90" w:firstLine="720"/>
        <w:jc w:val="both"/>
        <w:rPr>
          <w:rFonts w:ascii="Abadi" w:eastAsia="Calibri" w:hAnsi="Abadi" w:cs="Calibri"/>
          <w:color w:val="1A1A1A"/>
          <w:sz w:val="24"/>
          <w:szCs w:val="24"/>
          <w:lang w:val="en-US"/>
        </w:rPr>
      </w:pPr>
    </w:p>
    <w:tbl>
      <w:tblPr>
        <w:tblStyle w:val="TablaconestiloBold"/>
        <w:tblW w:w="9072" w:type="dxa"/>
        <w:tblInd w:w="0" w:type="dxa"/>
        <w:tblCellMar>
          <w:top w:w="55" w:type="dxa"/>
          <w:left w:w="108" w:type="dxa"/>
          <w:bottom w:w="55" w:type="dxa"/>
          <w:right w:w="108" w:type="dxa"/>
        </w:tblCellMar>
      </w:tblPr>
      <w:tblGrid>
        <w:gridCol w:w="9072"/>
      </w:tblGrid>
      <w:tr>
        <w:tc>
          <w:tcPr>
            <w:tcW w:w="9072" w:type="dxa"/>
            <w:shd w:val="clear" w:color="auto" w:fill="D9D9D9"/>
          </w:tcPr>
          <w:p w14:paraId="10000013" w14:textId="10000014" w:rsidR="00DF147D" w:rsidRDefault="00000000" w:rsidP="00A7547F">
            <w:pPr>
              <w:jc w:val="both"/>
              <w:rPr>
                <w:rFonts w:ascii="Abadi" w:hAnsi="Abadi"/>
                <w:b/>
                <w:bCs/>
                <w:color w:val="1A1A1A"/>
                <w:sz w:val="20"/>
                <w:szCs w:val="20"/>
                <w:lang w:val="en-US"/>
              </w:rPr>
            </w:pPr>
            <w:r>
              <w:rPr>
                <w:rFonts w:ascii="Abadi" w:hAnsi="Abadi"/>
                <w:b/>
                <w:bCs/>
                <w:color w:val="1A1A1A"/>
                <w:sz w:val="20"/>
                <w:szCs w:val="20"/>
                <w:lang w:val="en-US"/>
              </w:rPr>
              <w:t xml:space="preserve">  STRATEGIC ASSESSMENT — Impact of MCM's Return (10/25/2026)</w:t>
            </w:r>
          </w:p>
          <w:p w14:paraId="10000015" w14:textId="10000016" w:rsidR="00DF147D" w:rsidRDefault="00000000" w:rsidP="00A7547F">
            <w:pPr>
              <w:jc w:val="both"/>
              <w:rPr>
                <w:rFonts w:ascii="Abadi" w:hAnsi="Abadi"/>
                <w:color w:val="1A1A1A"/>
                <w:sz w:val="20"/>
                <w:szCs w:val="20"/>
                <w:lang w:val="en-US"/>
              </w:rPr>
            </w:pPr>
            <w:r>
              <w:rPr>
                <w:rFonts w:ascii="Abadi" w:hAnsi="Abadi"/>
                <w:color w:val="1A1A1A"/>
                <w:sz w:val="20"/>
                <w:szCs w:val="20"/>
                <w:lang w:val="en-US"/>
              </w:rPr>
              <w:t xml:space="preserve">The return of María Corina Machado to Venezuela is the most significant political catalyst since the July 28 fraud. Her presence on national territory raises the costs of any authoritarian reversal, increases opposition cohesion, and strengthens the PUD's negotiating position. The backing explicit backing of the Trump administration — sanctions lifted, prisoners released, full embassy in Caracas — turns the process into a high-value political commitment for both sides. The November–December 2026 period is the critical window for consolidating electoral reforms. For the strategic investor: the probability of verifiable democratic transition before mid-2027 has increased substantially. RESIDUAL RISK: the regime retains tactical obstruction capacity; final pace depends on the cohesion of the Chavista bloc under growing internal pressures.</w:t>
            </w:r>
          </w:p>
        </w:tc>
      </w:tr>
    </w:tbl>
    <w:p w14:paraId="10000017" w14:textId="10000018" w:rsidR="00A7547F" w:rsidRDefault="00A7547F" w:rsidP="00A7547F">
      <w:pPr>
        <w:ind w:right="-90" w:firstLine="720"/>
        <w:jc w:val="both"/>
        <w:rPr>
          <w:rFonts w:ascii="Abadi" w:eastAsia="Calibri" w:hAnsi="Abadi" w:cs="Calibri"/>
          <w:color w:val="1A1A1A"/>
          <w:sz w:val="24"/>
          <w:szCs w:val="24"/>
          <w:lang w:val="en-US"/>
        </w:rPr>
      </w:pPr>
    </w:p>
    <w:p w14:paraId="10000019" w14:textId="1000001A" w:rsidR="00DF147D" w:rsidRDefault="00000000" w:rsidP="00A7547F">
      <w:pPr>
        <w:ind w:right="-90"/>
        <w:jc w:val="both"/>
        <w:rPr>
          <w:rFonts w:ascii="Abadi" w:hAnsi="Abadi"/>
          <w:i/>
          <w:iCs/>
          <w:color w:val="595959"/>
          <w:sz w:val="18"/>
          <w:szCs w:val="18"/>
          <w:lang w:val="en-US"/>
        </w:rPr>
      </w:pPr>
      <w:r>
        <w:rPr>
          <w:rFonts w:ascii="Abadi" w:hAnsi="Abadi"/>
          <w:i/>
          <w:iCs/>
          <w:color w:val="595959"/>
          <w:sz w:val="18"/>
          <w:szCs w:val="18"/>
          <w:lang w:val="en-US"/>
        </w:rPr>
        <w:t xml:space="preserve">Sources: Marco Rubio, statements 10/25/2026 (U.S. Dept. of State); Donald Trump, media statements 10/25/2026; X @MariaCorinaYA 10/25/2026; PUD communiqué 10/25/2026; U.S. Dept. of the Treasury, press release 10/14/2026; U.S. Dept. of State, communiqué 10/23/2026 ("concrete results of the negotiations").</w:t>
      </w:r>
    </w:p>
    <w:p w14:paraId="5B6F229A" w14:textId="77777777" w:rsidR="00A7547F" w:rsidRDefault="00A7547F" w:rsidP="00A7547F">
      <w:pPr>
        <w:ind w:right="-90" w:firstLine="720"/>
        <w:jc w:val="both"/>
        <w:rPr>
          <w:rFonts w:ascii="Abadi" w:eastAsia="Calibri" w:hAnsi="Abadi" w:cs="Calibri"/>
          <w:color w:val="1A1A1A"/>
          <w:sz w:val="24"/>
          <w:szCs w:val="24"/>
          <w:lang w:val="en-US"/>
        </w:rPr>
      </w:pPr>
    </w:p>
    <w:p w14:paraId="74D9A2C7" w14:textId="77777777" w:rsidR="00A7547F" w:rsidRPr="00FF37C1" w:rsidRDefault="00A7547F" w:rsidP="00A7547F">
      <w:pPr>
        <w:ind w:right="-90" w:firstLine="720"/>
        <w:jc w:val="both"/>
        <w:rPr>
          <w:rFonts w:ascii="Abadi" w:hAnsi="Abadi"/>
          <w:sz w:val="24"/>
          <w:szCs w:val="24"/>
          <w:lang w:val="en-US"/>
        </w:rPr>
      </w:pPr>
    </w:p>
    <w:tbl>
      <w:tblPr>
        <w:tblW w:w="10170" w:type="dxa"/>
        <w:tblBorders>
          <w:top w:val="none" w:sz="0" w:space="0" w:color="FFFFFF"/>
          <w:left w:val="none" w:sz="0" w:space="0" w:color="FFFFFF"/>
          <w:bottom w:val="single" w:sz="12" w:space="0" w:color="CC0000"/>
          <w:right w:val="none" w:sz="0" w:space="0" w:color="FFFFFF"/>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170"/>
      </w:tblGrid>
      <w:tr w:rsidR="00DF147D" w:rsidRPr="00FF37C1" w14:paraId="182AF990" w14:textId="77777777" w:rsidTr="00A7547F">
        <w:tblPrEx>
          <w:tblCellMar>
            <w:top w:w="0" w:type="dxa"/>
            <w:bottom w:w="0" w:type="dxa"/>
          </w:tblCellMar>
        </w:tblPrEx>
        <w:tc>
          <w:tcPr>
            <w:tcW w:w="10170" w:type="dxa"/>
            <w:tcBorders>
              <w:top w:val="none" w:sz="0" w:space="0" w:color="FFFFFF"/>
              <w:left w:val="none" w:sz="0" w:space="0" w:color="FFFFFF"/>
              <w:bottom w:val="none" w:sz="0" w:space="0" w:color="FFFFFF"/>
              <w:right w:val="none" w:sz="0" w:space="0" w:color="FFFFFF"/>
            </w:tcBorders>
            <w:shd w:val="clear" w:color="auto" w:fill="111E35"/>
            <w:tcMar>
              <w:top w:w="100" w:type="dxa"/>
              <w:left w:w="200" w:type="dxa"/>
              <w:bottom w:w="100" w:type="dxa"/>
              <w:right w:w="200" w:type="dxa"/>
            </w:tcMar>
          </w:tcPr>
          <w:p w14:paraId="4A5E2129" w14:textId="77777777" w:rsidR="00DF147D" w:rsidRPr="00FF37C1" w:rsidRDefault="00000000" w:rsidP="00A7547F">
            <w:pPr>
              <w:ind w:right="-90"/>
              <w:jc w:val="both"/>
              <w:rPr>
                <w:rFonts w:ascii="Abadi" w:hAnsi="Abadi"/>
                <w:sz w:val="24"/>
                <w:szCs w:val="24"/>
                <w:lang w:val="en-US"/>
              </w:rPr>
            </w:pPr>
            <w:r>
              <w:rPr>
                <w:rFonts w:ascii="Abadi" w:eastAsia="Calibri" w:hAnsi="Abadi" w:cs="Calibri"/>
                <w:b/>
                <w:bCs/>
                <w:color w:val="FFFFFF"/>
                <w:sz w:val="24"/>
                <w:szCs w:val="24"/>
                <w:lang w:val="en-US"/>
              </w:rPr>
              <w:t>3.  OIL SECTOR: RECOVERY AND STRUCTURAL CHALLENGES</w:t>
            </w:r>
          </w:p>
        </w:tc>
      </w:tr>
    </w:tbl>
    <w:p w14:paraId="1A498472" w14:textId="77777777" w:rsidR="00A7547F" w:rsidRDefault="00A7547F" w:rsidP="00A7547F">
      <w:pPr>
        <w:pBdr>
          <w:bottom w:val="single" w:sz="6" w:space="0" w:color="CC0000"/>
        </w:pBdr>
        <w:ind w:right="-90"/>
        <w:jc w:val="both"/>
        <w:rPr>
          <w:rFonts w:ascii="Abadi" w:eastAsia="Calibri" w:hAnsi="Abadi" w:cs="Calibri"/>
          <w:b/>
          <w:bCs/>
          <w:color w:val="1A1A1A"/>
          <w:sz w:val="24"/>
          <w:szCs w:val="24"/>
          <w:lang w:val="en-US"/>
        </w:rPr>
      </w:pPr>
    </w:p>
    <w:p w14:paraId="00126396" w14:textId="77777777" w:rsidR="00A7547F" w:rsidRDefault="00A7547F" w:rsidP="00A7547F">
      <w:pPr>
        <w:pBdr>
          <w:bottom w:val="single" w:sz="6" w:space="0" w:color="CC0000"/>
        </w:pBdr>
        <w:ind w:right="-90"/>
        <w:jc w:val="both"/>
        <w:rPr>
          <w:rFonts w:ascii="Abadi" w:eastAsia="Calibri" w:hAnsi="Abadi" w:cs="Calibri"/>
          <w:b/>
          <w:bCs/>
          <w:color w:val="1A1A1A"/>
          <w:sz w:val="24"/>
          <w:szCs w:val="24"/>
          <w:lang w:val="en-US"/>
        </w:rPr>
      </w:pPr>
    </w:p>
    <w:p w14:paraId="43B4D0B8" w14:textId="518F4337" w:rsidR="00DF147D" w:rsidRPr="00FF37C1" w:rsidRDefault="00000000" w:rsidP="00A7547F">
      <w:pPr>
        <w:pBdr>
          <w:bottom w:val="single" w:sz="6" w:space="0" w:color="CC0000"/>
        </w:pBdr>
        <w:ind w:right="-90"/>
        <w:jc w:val="both"/>
        <w:rPr>
          <w:rFonts w:ascii="Abadi" w:hAnsi="Abadi"/>
          <w:sz w:val="24"/>
          <w:szCs w:val="24"/>
          <w:lang w:val="en-US"/>
        </w:rPr>
      </w:pPr>
      <w:r>
        <w:rPr>
          <w:rFonts w:ascii="Abadi" w:eastAsia="Calibri" w:hAnsi="Abadi" w:cs="Calibri"/>
          <w:b/>
          <w:bCs/>
          <w:color w:val="1A1A1A"/>
          <w:sz w:val="24"/>
          <w:szCs w:val="24"/>
          <w:lang w:val="en-US"/>
        </w:rPr>
        <w:t>3.1  PDVSA Production: Trajectory and Current Status</w:t>
      </w:r>
    </w:p>
    <w:p w14:paraId="45F472FA" w14:textId="77777777" w:rsidR="00A7547F" w:rsidRDefault="00A7547F" w:rsidP="00A7547F">
      <w:pPr>
        <w:ind w:right="-90" w:firstLine="720"/>
        <w:jc w:val="both"/>
        <w:rPr>
          <w:rFonts w:ascii="Abadi" w:eastAsia="Calibri" w:hAnsi="Abadi" w:cs="Calibri"/>
          <w:color w:val="1A1A1A"/>
          <w:sz w:val="24"/>
          <w:szCs w:val="24"/>
          <w:lang w:val="en-US"/>
        </w:rPr>
      </w:pPr>
    </w:p>
    <w:p w14:paraId="2B8A8E29" w14:textId="77777777" w:rsidR="00A7547F" w:rsidRDefault="00A7547F" w:rsidP="00A7547F">
      <w:pPr>
        <w:ind w:right="-90" w:firstLine="720"/>
        <w:jc w:val="both"/>
        <w:rPr>
          <w:rFonts w:ascii="Abadi" w:eastAsia="Calibri" w:hAnsi="Abadi" w:cs="Calibri"/>
          <w:color w:val="1A1A1A"/>
          <w:sz w:val="24"/>
          <w:szCs w:val="24"/>
          <w:lang w:val="en-US"/>
        </w:rPr>
      </w:pPr>
    </w:p>
    <w:p w14:paraId="4AC44B51" w14:textId="5C83135C" w:rsidR="00A7547F" w:rsidRDefault="00000000" w:rsidP="00A7547F">
      <w:pPr>
        <w:ind w:right="-90" w:firstLine="720"/>
        <w:jc w:val="both"/>
        <w:rPr>
          <w:rFonts w:ascii="Abadi" w:eastAsia="Calibri" w:hAnsi="Abadi" w:cs="Calibri"/>
          <w:color w:val="1A1A1A"/>
          <w:sz w:val="24"/>
          <w:szCs w:val="24"/>
          <w:lang w:val="en-US"/>
        </w:rPr>
      </w:pPr>
      <w:r>
        <w:rPr>
          <w:rFonts w:ascii="Abadi" w:eastAsia="Calibri" w:hAnsi="Abadi" w:cs="Calibri"/>
          <w:color w:val="1A1A1A"/>
          <w:sz w:val="24"/>
          <w:szCs w:val="24"/>
          <w:lang w:val="en-US"/>
        </w:rPr>
        <w:t xml:space="preserve">Venezuela reached its historical production peak of 3.5 million barrels per day (bpd) in 1998. The combination of structural underinvestment, international sanctions, flight of technical human capital, and systemic corruption reduced production to a minimum of approximately 400,000 bpd in 2020. The recovery began in 2021 and has accelerated significantly since 2023 with the reactivation of international company operations under special OFAC licenses.</w:t>
      </w:r>
    </w:p>
    <w:p w14:paraId="4BAC8C8E" w14:textId="678A2E53" w:rsidR="00A7547F" w:rsidRDefault="00A7547F" w:rsidP="00A7547F">
      <w:pPr>
        <w:ind w:right="-90" w:firstLine="720"/>
        <w:jc w:val="both"/>
        <w:rPr>
          <w:rFonts w:ascii="Abadi" w:eastAsia="Calibri" w:hAnsi="Abadi" w:cs="Calibri"/>
          <w:color w:val="1A1A1A"/>
          <w:sz w:val="24"/>
          <w:szCs w:val="24"/>
          <w:lang w:val="en-US"/>
        </w:rPr>
      </w:pPr>
    </w:p>
    <w:p w14:paraId="712B8CB5" w14:textId="77777777" w:rsidR="00A7547F" w:rsidRDefault="00A7547F" w:rsidP="00A7547F">
      <w:pPr>
        <w:ind w:right="-90" w:firstLine="720"/>
        <w:jc w:val="both"/>
        <w:rPr>
          <w:rFonts w:ascii="Abadi" w:eastAsia="Calibri" w:hAnsi="Abadi" w:cs="Calibri"/>
          <w:color w:val="1A1A1A"/>
          <w:sz w:val="24"/>
          <w:szCs w:val="24"/>
          <w:lang w:val="en-US"/>
        </w:rPr>
      </w:pPr>
    </w:p>
    <w:p w14:paraId="5F8A7EC0" w14:textId="77777777" w:rsidR="00A7547F" w:rsidRDefault="00A7547F" w:rsidP="00A7547F">
      <w:pPr>
        <w:ind w:right="-90" w:firstLine="720"/>
        <w:jc w:val="both"/>
        <w:rPr>
          <w:rFonts w:ascii="Abadi" w:eastAsia="Calibri" w:hAnsi="Abadi" w:cs="Calibri"/>
          <w:color w:val="1A1A1A"/>
          <w:sz w:val="24"/>
          <w:szCs w:val="24"/>
          <w:lang w:val="en-US"/>
        </w:rPr>
      </w:pPr>
    </w:p>
    <w:p w14:paraId="6F901622" w14:textId="77777777" w:rsidR="00A7547F" w:rsidRDefault="00A7547F" w:rsidP="00A7547F">
      <w:pPr>
        <w:ind w:right="-90" w:firstLine="720"/>
        <w:jc w:val="both"/>
        <w:rPr>
          <w:rFonts w:ascii="Abadi" w:eastAsia="Calibri" w:hAnsi="Abadi" w:cs="Calibri"/>
          <w:color w:val="1A1A1A"/>
          <w:sz w:val="24"/>
          <w:szCs w:val="24"/>
          <w:lang w:val="en-US"/>
        </w:rPr>
      </w:pPr>
    </w:p>
    <w:p w14:paraId="7E8526B8" w14:textId="77777777" w:rsidR="00A7547F" w:rsidRDefault="00A7547F" w:rsidP="00A7547F">
      <w:pPr>
        <w:ind w:right="-90" w:firstLine="720"/>
        <w:jc w:val="both"/>
        <w:rPr>
          <w:rFonts w:ascii="Abadi" w:eastAsia="Calibri" w:hAnsi="Abadi" w:cs="Calibri"/>
          <w:color w:val="1A1A1A"/>
          <w:sz w:val="24"/>
          <w:szCs w:val="24"/>
          <w:lang w:val="en-US"/>
        </w:rPr>
      </w:pPr>
    </w:p>
    <w:p w14:paraId="58011F81" w14:textId="77777777" w:rsidR="00A7547F" w:rsidRPr="00FF37C1" w:rsidRDefault="00A7547F" w:rsidP="00A7547F">
      <w:pPr>
        <w:ind w:right="-90" w:firstLine="720"/>
        <w:jc w:val="both"/>
        <w:rPr>
          <w:rFonts w:ascii="Abadi" w:eastAsia="Calibri" w:hAnsi="Abadi" w:cs="Calibri"/>
          <w:color w:val="1A1A1A"/>
          <w:sz w:val="24"/>
          <w:szCs w:val="24"/>
          <w:lang w:val="en-US"/>
        </w:rPr>
      </w:pPr>
    </w:p>
    <w:tbl>
      <w:tblPr>
        <w:tblW w:w="10165" w:type="dxa"/>
        <w:tblBorders>
          <w:top w:val="single" w:sz="4" w:space="0" w:color="999999"/>
          <w:left w:val="single" w:sz="4" w:space="0" w:color="999999"/>
          <w:bottom w:val="single" w:sz="4" w:space="0" w:color="999999"/>
          <w:right w:val="single" w:sz="4" w:space="0" w:color="999999"/>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80"/>
        <w:gridCol w:w="2016"/>
        <w:gridCol w:w="1680"/>
        <w:gridCol w:w="4789"/>
      </w:tblGrid>
      <w:tr w:rsidR="00A7547F" w:rsidRPr="00A7547F" w14:paraId="0BE1444A" w14:textId="77777777" w:rsidTr="00A7547F">
        <w:tblPrEx>
          <w:tblCellMar>
            <w:top w:w="0" w:type="dxa"/>
            <w:bottom w:w="0" w:type="dxa"/>
          </w:tblCellMar>
        </w:tblPrEx>
        <w:tc>
          <w:tcPr>
            <w:tcW w:w="1680"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3598F915" w14:textId="77777777" w:rsidR="00A7547F" w:rsidRPr="00A7547F" w:rsidRDefault="00A7547F" w:rsidP="00A7547F">
            <w:pPr>
              <w:ind w:right="-90"/>
              <w:jc w:val="center"/>
              <w:rPr>
                <w:rFonts w:ascii="Abadi" w:hAnsi="Abadi"/>
                <w:sz w:val="22"/>
                <w:szCs w:val="22"/>
                <w:lang w:val="en-US"/>
              </w:rPr>
            </w:pPr>
            <w:r>
              <w:rPr>
                <w:rFonts w:ascii="Abadi" w:eastAsia="Calibri" w:hAnsi="Abadi" w:cs="Calibri"/>
                <w:b/>
                <w:bCs/>
                <w:color w:val="FFFFFF"/>
                <w:sz w:val="22"/>
                <w:szCs w:val="22"/>
                <w:lang w:val="en-US"/>
              </w:rPr>
              <w:t>Year</w:t>
            </w:r>
          </w:p>
        </w:tc>
        <w:tc>
          <w:tcPr>
            <w:tcW w:w="2016"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489857C5" w14:textId="77777777" w:rsidR="00A7547F" w:rsidRPr="00A7547F" w:rsidRDefault="00A7547F" w:rsidP="00A7547F">
            <w:pPr>
              <w:ind w:right="-90"/>
              <w:jc w:val="center"/>
              <w:rPr>
                <w:rFonts w:ascii="Abadi" w:hAnsi="Abadi"/>
                <w:sz w:val="22"/>
                <w:szCs w:val="22"/>
                <w:lang w:val="en-US"/>
              </w:rPr>
            </w:pPr>
            <w:r>
              <w:rPr>
                <w:rFonts w:ascii="Abadi" w:eastAsia="Calibri" w:hAnsi="Abadi" w:cs="Calibri"/>
                <w:b/>
                <w:bCs/>
                <w:color w:val="FFFFFF"/>
                <w:sz w:val="22"/>
                <w:szCs w:val="22"/>
                <w:lang w:val="en-US"/>
              </w:rPr>
              <w:t>Production (M bpd)</w:t>
            </w:r>
          </w:p>
        </w:tc>
        <w:tc>
          <w:tcPr>
            <w:tcW w:w="1680"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176C02CD" w14:textId="77777777" w:rsidR="00A7547F" w:rsidRPr="00A7547F" w:rsidRDefault="00A7547F" w:rsidP="00A7547F">
            <w:pPr>
              <w:ind w:right="-90"/>
              <w:jc w:val="center"/>
              <w:rPr>
                <w:rFonts w:ascii="Abadi" w:hAnsi="Abadi"/>
                <w:sz w:val="22"/>
                <w:szCs w:val="22"/>
                <w:lang w:val="en-US"/>
              </w:rPr>
            </w:pPr>
            <w:r>
              <w:rPr>
                <w:rFonts w:ascii="Abadi" w:eastAsia="Calibri" w:hAnsi="Abadi" w:cs="Calibri"/>
                <w:b/>
                <w:bCs/>
                <w:color w:val="FFFFFF"/>
                <w:sz w:val="22"/>
                <w:szCs w:val="22"/>
                <w:lang w:val="en-US"/>
              </w:rPr>
              <w:t>Annual Change</w:t>
            </w:r>
          </w:p>
        </w:tc>
        <w:tc>
          <w:tcPr>
            <w:tcW w:w="4789"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25B42AF8" w14:textId="77777777" w:rsidR="00A7547F" w:rsidRPr="00A7547F" w:rsidRDefault="00A7547F" w:rsidP="00A7547F">
            <w:pPr>
              <w:ind w:right="-90"/>
              <w:jc w:val="center"/>
              <w:rPr>
                <w:rFonts w:ascii="Abadi" w:hAnsi="Abadi"/>
                <w:sz w:val="22"/>
                <w:szCs w:val="22"/>
                <w:lang w:val="en-US"/>
              </w:rPr>
            </w:pPr>
            <w:r>
              <w:rPr>
                <w:rFonts w:ascii="Abadi" w:eastAsia="Calibri" w:hAnsi="Abadi" w:cs="Calibri"/>
                <w:b/>
                <w:bCs/>
                <w:color w:val="FFFFFF"/>
                <w:sz w:val="22"/>
                <w:szCs w:val="22"/>
                <w:lang w:val="en-US"/>
              </w:rPr>
              <w:t>Primary Factor</w:t>
            </w:r>
          </w:p>
        </w:tc>
      </w:tr>
      <w:tr w:rsidR="00A7547F" w:rsidRPr="00A7547F" w14:paraId="4AED7753" w14:textId="77777777" w:rsidTr="00A7547F">
        <w:tblPrEx>
          <w:tblCellMar>
            <w:top w:w="0" w:type="dxa"/>
            <w:bottom w:w="0" w:type="dxa"/>
          </w:tblCellMar>
        </w:tblPrEx>
        <w:tc>
          <w:tcPr>
            <w:tcW w:w="16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5C057657" w14:textId="77777777" w:rsidR="00A7547F" w:rsidRPr="00A7547F" w:rsidRDefault="00A7547F" w:rsidP="00A7547F">
            <w:pPr>
              <w:ind w:right="-90"/>
              <w:jc w:val="center"/>
              <w:rPr>
                <w:rFonts w:ascii="Abadi" w:hAnsi="Abadi"/>
                <w:sz w:val="22"/>
                <w:szCs w:val="22"/>
                <w:lang w:val="en-US"/>
              </w:rPr>
            </w:pPr>
            <w:r>
              <w:rPr>
                <w:rFonts w:ascii="Abadi" w:eastAsia="Calibri" w:hAnsi="Abadi" w:cs="Calibri"/>
                <w:color w:val="1A1A1A"/>
                <w:sz w:val="22"/>
                <w:szCs w:val="22"/>
                <w:lang w:val="en-US"/>
              </w:rPr>
              <w:t>2020</w:t>
            </w:r>
          </w:p>
        </w:tc>
        <w:tc>
          <w:tcPr>
            <w:tcW w:w="2016"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5899CEEE" w14:textId="77777777" w:rsidR="00A7547F" w:rsidRPr="00A7547F" w:rsidRDefault="00A7547F" w:rsidP="00A7547F">
            <w:pPr>
              <w:ind w:right="-90"/>
              <w:jc w:val="center"/>
              <w:rPr>
                <w:rFonts w:ascii="Abadi" w:hAnsi="Abadi"/>
                <w:sz w:val="22"/>
                <w:szCs w:val="22"/>
                <w:lang w:val="en-US"/>
              </w:rPr>
            </w:pPr>
            <w:r>
              <w:rPr>
                <w:rFonts w:ascii="Abadi" w:eastAsia="Calibri" w:hAnsi="Abadi" w:cs="Calibri"/>
                <w:color w:val="1A1A1A"/>
                <w:sz w:val="22"/>
                <w:szCs w:val="22"/>
                <w:lang w:val="en-US"/>
              </w:rPr>
              <w:t>~0.40</w:t>
            </w:r>
          </w:p>
        </w:tc>
        <w:tc>
          <w:tcPr>
            <w:tcW w:w="16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1FA46CCF" w14:textId="77777777" w:rsidR="00A7547F" w:rsidRPr="00A7547F" w:rsidRDefault="00A7547F" w:rsidP="00A7547F">
            <w:pPr>
              <w:ind w:right="-90"/>
              <w:jc w:val="center"/>
              <w:rPr>
                <w:rFonts w:ascii="Abadi" w:hAnsi="Abadi"/>
                <w:sz w:val="22"/>
                <w:szCs w:val="22"/>
                <w:lang w:val="en-US"/>
              </w:rPr>
            </w:pPr>
            <w:r>
              <w:rPr>
                <w:rFonts w:ascii="Abadi" w:eastAsia="Calibri" w:hAnsi="Abadi" w:cs="Calibri"/>
                <w:color w:val="1A1A1A"/>
                <w:sz w:val="22"/>
                <w:szCs w:val="22"/>
                <w:lang w:val="en-US"/>
              </w:rPr>
              <w:t>—</w:t>
            </w:r>
          </w:p>
        </w:tc>
        <w:tc>
          <w:tcPr>
            <w:tcW w:w="4789"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01EF0DB5" w14:textId="77777777" w:rsidR="00A7547F" w:rsidRPr="00A7547F" w:rsidRDefault="00A7547F" w:rsidP="00A7547F">
            <w:pPr>
              <w:ind w:right="-90"/>
              <w:jc w:val="center"/>
              <w:rPr>
                <w:rFonts w:ascii="Abadi" w:hAnsi="Abadi"/>
                <w:sz w:val="22"/>
                <w:szCs w:val="22"/>
                <w:lang w:val="en-US"/>
              </w:rPr>
            </w:pPr>
            <w:r>
              <w:rPr>
                <w:rFonts w:ascii="Abadi" w:eastAsia="Calibri" w:hAnsi="Abadi" w:cs="Calibri"/>
                <w:color w:val="1A1A1A"/>
                <w:sz w:val="22"/>
                <w:szCs w:val="22"/>
                <w:lang w:val="en-US"/>
              </w:rPr>
              <w:t>OFAC sanctions / Operational collapse</w:t>
            </w:r>
          </w:p>
        </w:tc>
      </w:tr>
      <w:tr w:rsidR="00A7547F" w:rsidRPr="00A7547F" w14:paraId="066D5EFB" w14:textId="77777777" w:rsidTr="00A7547F">
        <w:tblPrEx>
          <w:tblCellMar>
            <w:top w:w="0" w:type="dxa"/>
            <w:bottom w:w="0" w:type="dxa"/>
          </w:tblCellMar>
        </w:tblPrEx>
        <w:tc>
          <w:tcPr>
            <w:tcW w:w="16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13078931" w14:textId="77777777" w:rsidR="00A7547F" w:rsidRPr="00A7547F" w:rsidRDefault="00A7547F" w:rsidP="00A7547F">
            <w:pPr>
              <w:ind w:right="-90"/>
              <w:jc w:val="center"/>
              <w:rPr>
                <w:rFonts w:ascii="Abadi" w:hAnsi="Abadi"/>
                <w:sz w:val="22"/>
                <w:szCs w:val="22"/>
                <w:lang w:val="en-US"/>
              </w:rPr>
            </w:pPr>
            <w:r>
              <w:rPr>
                <w:rFonts w:ascii="Abadi" w:eastAsia="Calibri" w:hAnsi="Abadi" w:cs="Calibri"/>
                <w:color w:val="1A1A1A"/>
                <w:sz w:val="22"/>
                <w:szCs w:val="22"/>
                <w:lang w:val="en-US"/>
              </w:rPr>
              <w:t>2021</w:t>
            </w:r>
          </w:p>
        </w:tc>
        <w:tc>
          <w:tcPr>
            <w:tcW w:w="2016"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2326E5B5" w14:textId="77777777" w:rsidR="00A7547F" w:rsidRPr="00A7547F" w:rsidRDefault="00A7547F" w:rsidP="00A7547F">
            <w:pPr>
              <w:ind w:right="-90"/>
              <w:jc w:val="center"/>
              <w:rPr>
                <w:rFonts w:ascii="Abadi" w:hAnsi="Abadi"/>
                <w:sz w:val="22"/>
                <w:szCs w:val="22"/>
                <w:lang w:val="en-US"/>
              </w:rPr>
            </w:pPr>
            <w:r>
              <w:rPr>
                <w:rFonts w:ascii="Abadi" w:eastAsia="Calibri" w:hAnsi="Abadi" w:cs="Calibri"/>
                <w:color w:val="1A1A1A"/>
                <w:sz w:val="22"/>
                <w:szCs w:val="22"/>
                <w:lang w:val="en-US"/>
              </w:rPr>
              <w:t>~0.65</w:t>
            </w:r>
          </w:p>
        </w:tc>
        <w:tc>
          <w:tcPr>
            <w:tcW w:w="16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2647207B" w14:textId="77777777" w:rsidR="00A7547F" w:rsidRPr="00A7547F" w:rsidRDefault="00A7547F" w:rsidP="00A7547F">
            <w:pPr>
              <w:ind w:right="-90"/>
              <w:jc w:val="center"/>
              <w:rPr>
                <w:rFonts w:ascii="Abadi" w:hAnsi="Abadi"/>
                <w:sz w:val="22"/>
                <w:szCs w:val="22"/>
                <w:lang w:val="en-US"/>
              </w:rPr>
            </w:pPr>
            <w:r>
              <w:rPr>
                <w:rFonts w:ascii="Abadi" w:eastAsia="Calibri" w:hAnsi="Abadi" w:cs="Calibri"/>
                <w:color w:val="1A1A1A"/>
                <w:sz w:val="22"/>
                <w:szCs w:val="22"/>
                <w:lang w:val="en-US"/>
              </w:rPr>
              <w:t>+62%</w:t>
            </w:r>
          </w:p>
        </w:tc>
        <w:tc>
          <w:tcPr>
            <w:tcW w:w="4789"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11B5CC5A" w14:textId="77777777" w:rsidR="00A7547F" w:rsidRPr="00A7547F" w:rsidRDefault="00A7547F" w:rsidP="00A7547F">
            <w:pPr>
              <w:ind w:right="-90"/>
              <w:jc w:val="center"/>
              <w:rPr>
                <w:rFonts w:ascii="Abadi" w:hAnsi="Abadi"/>
                <w:sz w:val="22"/>
                <w:szCs w:val="22"/>
                <w:lang w:val="en-US"/>
              </w:rPr>
            </w:pPr>
            <w:r>
              <w:rPr>
                <w:rFonts w:ascii="Abadi" w:eastAsia="Calibri" w:hAnsi="Abadi" w:cs="Calibri"/>
                <w:color w:val="1A1A1A"/>
                <w:sz w:val="22"/>
                <w:szCs w:val="22"/>
                <w:lang w:val="en-US"/>
              </w:rPr>
              <w:t>Partial U.S. licenses</w:t>
            </w:r>
          </w:p>
        </w:tc>
      </w:tr>
      <w:tr w:rsidR="00A7547F" w:rsidRPr="00A7547F" w14:paraId="02A76369" w14:textId="77777777" w:rsidTr="00A7547F">
        <w:tblPrEx>
          <w:tblCellMar>
            <w:top w:w="0" w:type="dxa"/>
            <w:bottom w:w="0" w:type="dxa"/>
          </w:tblCellMar>
        </w:tblPrEx>
        <w:tc>
          <w:tcPr>
            <w:tcW w:w="16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2CE18532" w14:textId="77777777" w:rsidR="00A7547F" w:rsidRPr="00A7547F" w:rsidRDefault="00A7547F" w:rsidP="00A7547F">
            <w:pPr>
              <w:ind w:right="-90"/>
              <w:jc w:val="center"/>
              <w:rPr>
                <w:rFonts w:ascii="Abadi" w:hAnsi="Abadi"/>
                <w:sz w:val="22"/>
                <w:szCs w:val="22"/>
                <w:lang w:val="en-US"/>
              </w:rPr>
            </w:pPr>
            <w:r>
              <w:rPr>
                <w:rFonts w:ascii="Abadi" w:eastAsia="Calibri" w:hAnsi="Abadi" w:cs="Calibri"/>
                <w:color w:val="1A1A1A"/>
                <w:sz w:val="22"/>
                <w:szCs w:val="22"/>
                <w:lang w:val="en-US"/>
              </w:rPr>
              <w:t>2022</w:t>
            </w:r>
          </w:p>
        </w:tc>
        <w:tc>
          <w:tcPr>
            <w:tcW w:w="2016"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62BFA9FA" w14:textId="77777777" w:rsidR="00A7547F" w:rsidRPr="00A7547F" w:rsidRDefault="00A7547F" w:rsidP="00A7547F">
            <w:pPr>
              <w:ind w:right="-90"/>
              <w:jc w:val="center"/>
              <w:rPr>
                <w:rFonts w:ascii="Abadi" w:hAnsi="Abadi"/>
                <w:sz w:val="22"/>
                <w:szCs w:val="22"/>
                <w:lang w:val="en-US"/>
              </w:rPr>
            </w:pPr>
            <w:r>
              <w:rPr>
                <w:rFonts w:ascii="Abadi" w:eastAsia="Calibri" w:hAnsi="Abadi" w:cs="Calibri"/>
                <w:color w:val="1A1A1A"/>
                <w:sz w:val="22"/>
                <w:szCs w:val="22"/>
                <w:lang w:val="en-US"/>
              </w:rPr>
              <w:t>~0.72</w:t>
            </w:r>
          </w:p>
        </w:tc>
        <w:tc>
          <w:tcPr>
            <w:tcW w:w="16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6DE8BB5A" w14:textId="77777777" w:rsidR="00A7547F" w:rsidRPr="00A7547F" w:rsidRDefault="00A7547F" w:rsidP="00A7547F">
            <w:pPr>
              <w:ind w:right="-90"/>
              <w:jc w:val="center"/>
              <w:rPr>
                <w:rFonts w:ascii="Abadi" w:hAnsi="Abadi"/>
                <w:sz w:val="22"/>
                <w:szCs w:val="22"/>
                <w:lang w:val="en-US"/>
              </w:rPr>
            </w:pPr>
            <w:r>
              <w:rPr>
                <w:rFonts w:ascii="Abadi" w:eastAsia="Calibri" w:hAnsi="Abadi" w:cs="Calibri"/>
                <w:color w:val="1A1A1A"/>
                <w:sz w:val="22"/>
                <w:szCs w:val="22"/>
                <w:lang w:val="en-US"/>
              </w:rPr>
              <w:t>+11%</w:t>
            </w:r>
          </w:p>
        </w:tc>
        <w:tc>
          <w:tcPr>
            <w:tcW w:w="4789"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14685C3E" w14:textId="77777777" w:rsidR="00A7547F" w:rsidRPr="00A7547F" w:rsidRDefault="00A7547F" w:rsidP="00A7547F">
            <w:pPr>
              <w:ind w:right="-90"/>
              <w:jc w:val="center"/>
              <w:rPr>
                <w:rFonts w:ascii="Abadi" w:hAnsi="Abadi"/>
                <w:sz w:val="22"/>
                <w:szCs w:val="22"/>
                <w:lang w:val="en-US"/>
              </w:rPr>
            </w:pPr>
            <w:r>
              <w:rPr>
                <w:rFonts w:ascii="Abadi" w:eastAsia="Calibri" w:hAnsi="Abadi" w:cs="Calibri"/>
                <w:color w:val="1A1A1A"/>
                <w:sz w:val="22"/>
                <w:szCs w:val="22"/>
                <w:lang w:val="en-US"/>
              </w:rPr>
              <w:t>Reactivated joint ventures</w:t>
            </w:r>
          </w:p>
        </w:tc>
      </w:tr>
      <w:tr w:rsidR="00A7547F" w:rsidRPr="00A7547F" w14:paraId="2B7B13AC" w14:textId="77777777" w:rsidTr="00A7547F">
        <w:tblPrEx>
          <w:tblCellMar>
            <w:top w:w="0" w:type="dxa"/>
            <w:bottom w:w="0" w:type="dxa"/>
          </w:tblCellMar>
        </w:tblPrEx>
        <w:tc>
          <w:tcPr>
            <w:tcW w:w="16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6A9D5F0D" w14:textId="77777777" w:rsidR="00A7547F" w:rsidRPr="00A7547F" w:rsidRDefault="00A7547F" w:rsidP="00A7547F">
            <w:pPr>
              <w:ind w:right="-90"/>
              <w:jc w:val="center"/>
              <w:rPr>
                <w:rFonts w:ascii="Abadi" w:hAnsi="Abadi"/>
                <w:sz w:val="22"/>
                <w:szCs w:val="22"/>
                <w:lang w:val="en-US"/>
              </w:rPr>
            </w:pPr>
            <w:r>
              <w:rPr>
                <w:rFonts w:ascii="Abadi" w:eastAsia="Calibri" w:hAnsi="Abadi" w:cs="Calibri"/>
                <w:color w:val="1A1A1A"/>
                <w:sz w:val="22"/>
                <w:szCs w:val="22"/>
                <w:lang w:val="en-US"/>
              </w:rPr>
              <w:t>2023</w:t>
            </w:r>
          </w:p>
        </w:tc>
        <w:tc>
          <w:tcPr>
            <w:tcW w:w="2016"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32546080" w14:textId="77777777" w:rsidR="00A7547F" w:rsidRPr="00A7547F" w:rsidRDefault="00A7547F" w:rsidP="00A7547F">
            <w:pPr>
              <w:ind w:right="-90"/>
              <w:jc w:val="center"/>
              <w:rPr>
                <w:rFonts w:ascii="Abadi" w:hAnsi="Abadi"/>
                <w:sz w:val="22"/>
                <w:szCs w:val="22"/>
                <w:lang w:val="en-US"/>
              </w:rPr>
            </w:pPr>
            <w:r>
              <w:rPr>
                <w:rFonts w:ascii="Abadi" w:eastAsia="Calibri" w:hAnsi="Abadi" w:cs="Calibri"/>
                <w:color w:val="1A1A1A"/>
                <w:sz w:val="22"/>
                <w:szCs w:val="22"/>
                <w:lang w:val="en-US"/>
              </w:rPr>
              <w:t>~0.88</w:t>
            </w:r>
          </w:p>
        </w:tc>
        <w:tc>
          <w:tcPr>
            <w:tcW w:w="16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6A06D2C2" w14:textId="77777777" w:rsidR="00A7547F" w:rsidRPr="00A7547F" w:rsidRDefault="00A7547F" w:rsidP="00A7547F">
            <w:pPr>
              <w:ind w:right="-90"/>
              <w:jc w:val="center"/>
              <w:rPr>
                <w:rFonts w:ascii="Abadi" w:hAnsi="Abadi"/>
                <w:sz w:val="22"/>
                <w:szCs w:val="22"/>
                <w:lang w:val="en-US"/>
              </w:rPr>
            </w:pPr>
            <w:r>
              <w:rPr>
                <w:rFonts w:ascii="Abadi" w:eastAsia="Calibri" w:hAnsi="Abadi" w:cs="Calibri"/>
                <w:color w:val="1A1A1A"/>
                <w:sz w:val="22"/>
                <w:szCs w:val="22"/>
                <w:lang w:val="en-US"/>
              </w:rPr>
              <w:t>+22%</w:t>
            </w:r>
          </w:p>
        </w:tc>
        <w:tc>
          <w:tcPr>
            <w:tcW w:w="4789"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22D04886" w14:textId="77777777" w:rsidR="00A7547F" w:rsidRPr="00A7547F" w:rsidRDefault="00A7547F" w:rsidP="00A7547F">
            <w:pPr>
              <w:ind w:right="-90"/>
              <w:jc w:val="center"/>
              <w:rPr>
                <w:rFonts w:ascii="Abadi" w:hAnsi="Abadi"/>
                <w:sz w:val="22"/>
                <w:szCs w:val="22"/>
                <w:lang w:val="en-US"/>
              </w:rPr>
            </w:pPr>
            <w:r>
              <w:rPr>
                <w:rFonts w:ascii="Abadi" w:eastAsia="Calibri" w:hAnsi="Abadi" w:cs="Calibri"/>
                <w:color w:val="1A1A1A"/>
                <w:sz w:val="22"/>
                <w:szCs w:val="22"/>
                <w:lang w:val="en-US"/>
              </w:rPr>
              <w:t>Chevron GL-41 operativo</w:t>
            </w:r>
          </w:p>
        </w:tc>
      </w:tr>
      <w:tr w:rsidR="00A7547F" w:rsidRPr="00A7547F" w14:paraId="57118BB0" w14:textId="77777777" w:rsidTr="00A7547F">
        <w:tblPrEx>
          <w:tblCellMar>
            <w:top w:w="0" w:type="dxa"/>
            <w:bottom w:w="0" w:type="dxa"/>
          </w:tblCellMar>
        </w:tblPrEx>
        <w:tc>
          <w:tcPr>
            <w:tcW w:w="16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2BAE82E7" w14:textId="77777777" w:rsidR="00A7547F" w:rsidRPr="00A7547F" w:rsidRDefault="00A7547F" w:rsidP="00A7547F">
            <w:pPr>
              <w:ind w:right="-90"/>
              <w:jc w:val="center"/>
              <w:rPr>
                <w:rFonts w:ascii="Abadi" w:hAnsi="Abadi"/>
                <w:sz w:val="22"/>
                <w:szCs w:val="22"/>
                <w:lang w:val="en-US"/>
              </w:rPr>
            </w:pPr>
            <w:r>
              <w:rPr>
                <w:rFonts w:ascii="Abadi" w:eastAsia="Calibri" w:hAnsi="Abadi" w:cs="Calibri"/>
                <w:color w:val="1A1A1A"/>
                <w:sz w:val="22"/>
                <w:szCs w:val="22"/>
                <w:lang w:val="en-US"/>
              </w:rPr>
              <w:t>2024</w:t>
            </w:r>
          </w:p>
        </w:tc>
        <w:tc>
          <w:tcPr>
            <w:tcW w:w="2016"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60E0B474" w14:textId="77777777" w:rsidR="00A7547F" w:rsidRPr="00A7547F" w:rsidRDefault="00A7547F" w:rsidP="00A7547F">
            <w:pPr>
              <w:ind w:right="-90"/>
              <w:jc w:val="center"/>
              <w:rPr>
                <w:rFonts w:ascii="Abadi" w:hAnsi="Abadi"/>
                <w:sz w:val="22"/>
                <w:szCs w:val="22"/>
                <w:lang w:val="en-US"/>
              </w:rPr>
            </w:pPr>
            <w:r>
              <w:rPr>
                <w:rFonts w:ascii="Abadi" w:eastAsia="Calibri" w:hAnsi="Abadi" w:cs="Calibri"/>
                <w:color w:val="1A1A1A"/>
                <w:sz w:val="22"/>
                <w:szCs w:val="22"/>
                <w:lang w:val="en-US"/>
              </w:rPr>
              <w:t>~1.03</w:t>
            </w:r>
          </w:p>
        </w:tc>
        <w:tc>
          <w:tcPr>
            <w:tcW w:w="16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2777AC7F" w14:textId="77777777" w:rsidR="00A7547F" w:rsidRPr="00A7547F" w:rsidRDefault="00A7547F" w:rsidP="00A7547F">
            <w:pPr>
              <w:ind w:right="-90"/>
              <w:jc w:val="center"/>
              <w:rPr>
                <w:rFonts w:ascii="Abadi" w:hAnsi="Abadi"/>
                <w:sz w:val="22"/>
                <w:szCs w:val="22"/>
                <w:lang w:val="en-US"/>
              </w:rPr>
            </w:pPr>
            <w:r>
              <w:rPr>
                <w:rFonts w:ascii="Abadi" w:eastAsia="Calibri" w:hAnsi="Abadi" w:cs="Calibri"/>
                <w:color w:val="1A1A1A"/>
                <w:sz w:val="22"/>
                <w:szCs w:val="22"/>
                <w:lang w:val="en-US"/>
              </w:rPr>
              <w:t>+17.6%</w:t>
            </w:r>
          </w:p>
        </w:tc>
        <w:tc>
          <w:tcPr>
            <w:tcW w:w="4789"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35213C42" w14:textId="77777777" w:rsidR="00A7547F" w:rsidRPr="00A7547F" w:rsidRDefault="00A7547F" w:rsidP="00A7547F">
            <w:pPr>
              <w:ind w:right="-90"/>
              <w:jc w:val="center"/>
              <w:rPr>
                <w:rFonts w:ascii="Abadi" w:hAnsi="Abadi"/>
                <w:sz w:val="22"/>
                <w:szCs w:val="22"/>
                <w:lang w:val="en-US"/>
              </w:rPr>
            </w:pPr>
            <w:r>
              <w:rPr>
                <w:rFonts w:ascii="Abadi" w:eastAsia="Calibri" w:hAnsi="Abadi" w:cs="Calibri"/>
                <w:color w:val="1A1A1A"/>
                <w:sz w:val="22"/>
                <w:szCs w:val="22"/>
                <w:lang w:val="en-US"/>
              </w:rPr>
              <w:t>Expansión joint ventures</w:t>
            </w:r>
          </w:p>
        </w:tc>
      </w:tr>
      <w:tr w:rsidR="00A7547F" w:rsidRPr="00A7547F" w14:paraId="28D89028" w14:textId="77777777" w:rsidTr="00A7547F">
        <w:tblPrEx>
          <w:tblCellMar>
            <w:top w:w="0" w:type="dxa"/>
            <w:bottom w:w="0" w:type="dxa"/>
          </w:tblCellMar>
        </w:tblPrEx>
        <w:tc>
          <w:tcPr>
            <w:tcW w:w="16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5728C55D" w14:textId="77777777" w:rsidR="00A7547F" w:rsidRPr="00A7547F" w:rsidRDefault="00A7547F" w:rsidP="00A7547F">
            <w:pPr>
              <w:ind w:right="-90"/>
              <w:jc w:val="center"/>
              <w:rPr>
                <w:rFonts w:ascii="Abadi" w:hAnsi="Abadi"/>
                <w:sz w:val="22"/>
                <w:szCs w:val="22"/>
                <w:lang w:val="en-US"/>
              </w:rPr>
            </w:pPr>
            <w:r>
              <w:rPr>
                <w:rFonts w:ascii="Abadi" w:eastAsia="Calibri" w:hAnsi="Abadi" w:cs="Calibri"/>
                <w:color w:val="1A1A1A"/>
                <w:sz w:val="22"/>
                <w:szCs w:val="22"/>
                <w:lang w:val="en-US"/>
              </w:rPr>
              <w:t>2025</w:t>
            </w:r>
          </w:p>
        </w:tc>
        <w:tc>
          <w:tcPr>
            <w:tcW w:w="2016"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5228663D" w14:textId="77777777" w:rsidR="00A7547F" w:rsidRPr="00A7547F" w:rsidRDefault="00A7547F" w:rsidP="00A7547F">
            <w:pPr>
              <w:ind w:right="-90"/>
              <w:jc w:val="center"/>
              <w:rPr>
                <w:rFonts w:ascii="Abadi" w:hAnsi="Abadi"/>
                <w:sz w:val="22"/>
                <w:szCs w:val="22"/>
                <w:lang w:val="en-US"/>
              </w:rPr>
            </w:pPr>
            <w:r>
              <w:rPr>
                <w:rFonts w:ascii="Abadi" w:eastAsia="Calibri" w:hAnsi="Abadi" w:cs="Calibri"/>
                <w:color w:val="1A1A1A"/>
                <w:sz w:val="22"/>
                <w:szCs w:val="22"/>
                <w:lang w:val="en-US"/>
              </w:rPr>
              <w:t>~1.10</w:t>
            </w:r>
          </w:p>
        </w:tc>
        <w:tc>
          <w:tcPr>
            <w:tcW w:w="16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72E709C0" w14:textId="77777777" w:rsidR="00A7547F" w:rsidRPr="00A7547F" w:rsidRDefault="00A7547F" w:rsidP="00A7547F">
            <w:pPr>
              <w:ind w:right="-90"/>
              <w:jc w:val="center"/>
              <w:rPr>
                <w:rFonts w:ascii="Abadi" w:hAnsi="Abadi"/>
                <w:sz w:val="22"/>
                <w:szCs w:val="22"/>
                <w:lang w:val="en-US"/>
              </w:rPr>
            </w:pPr>
            <w:r>
              <w:rPr>
                <w:rFonts w:ascii="Abadi" w:eastAsia="Calibri" w:hAnsi="Abadi" w:cs="Calibri"/>
                <w:color w:val="1A1A1A"/>
                <w:sz w:val="22"/>
                <w:szCs w:val="22"/>
                <w:lang w:val="en-US"/>
              </w:rPr>
              <w:t>+7%</w:t>
            </w:r>
          </w:p>
        </w:tc>
        <w:tc>
          <w:tcPr>
            <w:tcW w:w="4789"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246DF18E" w14:textId="77777777" w:rsidR="00A7547F" w:rsidRPr="00A7547F" w:rsidRDefault="00A7547F" w:rsidP="00A7547F">
            <w:pPr>
              <w:ind w:right="-90"/>
              <w:jc w:val="center"/>
              <w:rPr>
                <w:rFonts w:ascii="Abadi" w:hAnsi="Abadi"/>
                <w:sz w:val="22"/>
                <w:szCs w:val="22"/>
                <w:lang w:val="en-US"/>
              </w:rPr>
            </w:pPr>
            <w:r>
              <w:rPr>
                <w:rFonts w:ascii="Abadi" w:eastAsia="Calibri" w:hAnsi="Abadi" w:cs="Calibri"/>
                <w:color w:val="1A1A1A"/>
                <w:sz w:val="22"/>
                <w:szCs w:val="22"/>
                <w:lang w:val="en-US"/>
              </w:rPr>
              <w:t>U.S.-Venezuela energy agreement</w:t>
            </w:r>
          </w:p>
        </w:tc>
      </w:tr>
      <w:tr w:rsidR="00A7547F" w:rsidRPr="00A7547F" w14:paraId="47C1E5B6" w14:textId="77777777" w:rsidTr="00A7547F">
        <w:tblPrEx>
          <w:tblCellMar>
            <w:top w:w="0" w:type="dxa"/>
            <w:bottom w:w="0" w:type="dxa"/>
          </w:tblCellMar>
        </w:tblPrEx>
        <w:tc>
          <w:tcPr>
            <w:tcW w:w="16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171F1185" w14:textId="77777777" w:rsidR="00A7547F" w:rsidRPr="00A7547F" w:rsidRDefault="00A7547F" w:rsidP="00A7547F">
            <w:pPr>
              <w:ind w:right="-90"/>
              <w:jc w:val="center"/>
              <w:rPr>
                <w:rFonts w:ascii="Abadi" w:hAnsi="Abadi"/>
                <w:sz w:val="22"/>
                <w:szCs w:val="22"/>
                <w:lang w:val="en-US"/>
              </w:rPr>
            </w:pPr>
            <w:r>
              <w:rPr>
                <w:rFonts w:ascii="Abadi" w:eastAsia="Calibri" w:hAnsi="Abadi" w:cs="Calibri"/>
                <w:color w:val="1A1A1A"/>
                <w:sz w:val="22"/>
                <w:szCs w:val="22"/>
                <w:lang w:val="en-US"/>
              </w:rPr>
              <w:t>2026 (proy.)</w:t>
            </w:r>
          </w:p>
        </w:tc>
        <w:tc>
          <w:tcPr>
            <w:tcW w:w="2016"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1DEFDDA1" w14:textId="77777777" w:rsidR="00A7547F" w:rsidRPr="00A7547F" w:rsidRDefault="00A7547F" w:rsidP="00A7547F">
            <w:pPr>
              <w:ind w:right="-90"/>
              <w:jc w:val="center"/>
              <w:rPr>
                <w:rFonts w:ascii="Abadi" w:hAnsi="Abadi"/>
                <w:sz w:val="22"/>
                <w:szCs w:val="22"/>
                <w:lang w:val="en-US"/>
              </w:rPr>
            </w:pPr>
            <w:r>
              <w:rPr>
                <w:rFonts w:ascii="Abadi" w:eastAsia="Calibri" w:hAnsi="Abadi" w:cs="Calibri"/>
                <w:color w:val="1A1A1A"/>
                <w:sz w:val="22"/>
                <w:szCs w:val="22"/>
                <w:lang w:val="en-US"/>
              </w:rPr>
              <w:t>~1.30-1.50</w:t>
            </w:r>
          </w:p>
        </w:tc>
        <w:tc>
          <w:tcPr>
            <w:tcW w:w="16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161639D0" w14:textId="77777777" w:rsidR="00A7547F" w:rsidRPr="00A7547F" w:rsidRDefault="00A7547F" w:rsidP="00A7547F">
            <w:pPr>
              <w:ind w:right="-90"/>
              <w:jc w:val="center"/>
              <w:rPr>
                <w:rFonts w:ascii="Abadi" w:hAnsi="Abadi"/>
                <w:sz w:val="22"/>
                <w:szCs w:val="22"/>
                <w:lang w:val="en-US"/>
              </w:rPr>
            </w:pPr>
            <w:r>
              <w:rPr>
                <w:rFonts w:ascii="Abadi" w:eastAsia="Calibri" w:hAnsi="Abadi" w:cs="Calibri"/>
                <w:color w:val="1A1A1A"/>
                <w:sz w:val="22"/>
                <w:szCs w:val="22"/>
                <w:lang w:val="en-US"/>
              </w:rPr>
              <w:t>+18-36%</w:t>
            </w:r>
          </w:p>
        </w:tc>
        <w:tc>
          <w:tcPr>
            <w:tcW w:w="4789"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6DB4AF9C" w14:textId="77777777" w:rsidR="00A7547F" w:rsidRPr="00A7547F" w:rsidRDefault="00A7547F" w:rsidP="00A7547F">
            <w:pPr>
              <w:ind w:right="-90"/>
              <w:jc w:val="center"/>
              <w:rPr>
                <w:rFonts w:ascii="Abadi" w:hAnsi="Abadi"/>
                <w:sz w:val="22"/>
                <w:szCs w:val="22"/>
                <w:lang w:val="en-US"/>
              </w:rPr>
            </w:pPr>
            <w:r>
              <w:rPr>
                <w:rFonts w:ascii="Abadi" w:eastAsia="Calibri" w:hAnsi="Abadi" w:cs="Calibri"/>
                <w:color w:val="1A1A1A"/>
                <w:sz w:val="22"/>
                <w:szCs w:val="22"/>
                <w:lang w:val="en-US"/>
              </w:rPr>
              <w:t>Chevron Investment $7B, nuevas áreas Carabobo</w:t>
            </w:r>
          </w:p>
        </w:tc>
      </w:tr>
    </w:tbl>
    <w:p w14:paraId="659BABA1" w14:textId="77777777" w:rsidR="00A7547F" w:rsidRPr="00FF37C1" w:rsidRDefault="00A7547F" w:rsidP="00A7547F">
      <w:pPr>
        <w:ind w:right="-90" w:firstLine="720"/>
        <w:jc w:val="both"/>
        <w:rPr>
          <w:rFonts w:ascii="Abadi" w:hAnsi="Abadi"/>
          <w:sz w:val="24"/>
          <w:szCs w:val="24"/>
          <w:lang w:val="en-US"/>
        </w:rPr>
      </w:pPr>
    </w:p>
    <w:p w14:paraId="0E295566" w14:textId="77777777" w:rsidR="00DF147D" w:rsidRPr="00A7547F" w:rsidRDefault="00000000" w:rsidP="00A7547F">
      <w:pPr>
        <w:ind w:right="-90"/>
        <w:jc w:val="both"/>
        <w:rPr>
          <w:rFonts w:ascii="Abadi" w:hAnsi="Abadi"/>
          <w:b/>
          <w:bCs/>
          <w:lang w:val="en-US"/>
        </w:rPr>
      </w:pPr>
      <w:r>
        <w:rPr>
          <w:rFonts w:ascii="Abadi" w:eastAsia="Calibri" w:hAnsi="Abadi" w:cs="Calibri"/>
          <w:b/>
          <w:bCs/>
          <w:i/>
          <w:iCs/>
          <w:lang w:val="en-US"/>
        </w:rPr>
        <w:t xml:space="preserve">Sources: OPEC Annual Statistical Bulletin 2024; Infobae/EFE (Jan. 2025); Venezuela consolidates oil recovery 2025 (observatorio.gob.ve); Finanzas Digital, 2025.</w:t>
      </w:r>
    </w:p>
    <w:p w14:paraId="1000001B" w14:textId="1000001C" w:rsidR="00A7547F" w:rsidRDefault="00A7547F" w:rsidP="00A7547F">
      <w:pPr>
        <w:ind w:right="-90" w:firstLine="720"/>
        <w:jc w:val="both"/>
        <w:rPr>
          <w:rFonts w:ascii="Abadi" w:eastAsia="Calibri" w:hAnsi="Abadi" w:cs="Calibri"/>
          <w:color w:val="1A1A1A"/>
          <w:sz w:val="24"/>
          <w:szCs w:val="24"/>
          <w:lang w:val="en-US"/>
        </w:rPr>
      </w:pPr>
    </w:p>
    <w:p w14:paraId="1000001D" w14:textId="1000001E" w:rsidR="00DF147D" w:rsidRDefault="00000000" w:rsidP="00A7547F">
      <w:pPr>
        <w:ind w:right="-90" w:firstLine="720"/>
        <w:jc w:val="both"/>
        <w:rPr>
          <w:rFonts w:ascii="Abadi" w:eastAsia="Calibri" w:hAnsi="Abadi" w:cs="Calibri"/>
          <w:color w:val="1A1A1A"/>
          <w:sz w:val="24"/>
          <w:szCs w:val="24"/>
          <w:lang w:val="en-US"/>
        </w:rPr>
      </w:pPr>
      <w:r>
        <w:rPr>
          <w:rFonts w:ascii="Abadi" w:eastAsia="Calibri" w:hAnsi="Abadi" w:cs="Calibri"/>
          <w:b/>
          <w:bCs/>
          <w:color w:val="1A1A1A"/>
          <w:sz w:val="24"/>
          <w:szCs w:val="24"/>
          <w:lang w:val="en-US"/>
        </w:rPr>
        <w:t xml:space="preserve">Q3 2026 Update: Production Exceeds 1.2 Million bpd. </w:t>
      </w:r>
      <w:r>
        <w:rPr>
          <w:rFonts w:ascii="Abadi" w:eastAsia="Calibri" w:hAnsi="Abadi" w:cs="Calibri"/>
          <w:color w:val="1A1A1A"/>
          <w:sz w:val="24"/>
          <w:szCs w:val="24"/>
          <w:lang w:val="en-US"/>
        </w:rPr>
        <w:t xml:space="preserve">Third-quarter 2026 data confirm that PDVSA has sustained production above 1.2 million barrels per day (bpd), recording 8% growth compared to the same period in 2025. Venezuela has signed 61 active bilateral agreements for the exploitation of oil and gas, with 44 additional projects in advanced negotiation. Hydrocarbon Law reforms approved in 2026 allow more flexible contractual models, eliminating historical barriers to foreign private investment. The U.S. Secretary of Energy projected an additional 40% production increase during 2026 under the full bilateral energy cooperation scenario, which would place Venezuela near 1.5 million bpd by year-end.</w:t>
      </w:r>
    </w:p>
    <w:p w14:paraId="1000001F" w14:textId="10000020" w:rsidR="00DF147D" w:rsidRDefault="00000000" w:rsidP="00A7547F">
      <w:pPr>
        <w:ind w:right="-90"/>
        <w:jc w:val="both"/>
        <w:rPr>
          <w:rFonts w:ascii="Abadi" w:hAnsi="Abadi"/>
          <w:i/>
          <w:iCs/>
          <w:color w:val="595959"/>
          <w:sz w:val="18"/>
          <w:szCs w:val="18"/>
          <w:lang w:val="en-US"/>
        </w:rPr>
      </w:pPr>
      <w:r>
        <w:rPr>
          <w:rFonts w:ascii="Abadi" w:hAnsi="Abadi"/>
          <w:i/>
          <w:iCs/>
          <w:color w:val="595959"/>
          <w:sz w:val="18"/>
          <w:szCs w:val="18"/>
          <w:lang w:val="en-US"/>
        </w:rPr>
        <w:t xml:space="preserve">Sources: PDVSA Q3-2026 Operational Report; Reuters Energy Desk October 2026; U.S. Department of Energy, Q3-2026 projections.</w:t>
      </w:r>
    </w:p>
    <w:p w14:paraId="62BDE339" w14:textId="77777777" w:rsidR="00DF147D" w:rsidRPr="00FF37C1" w:rsidRDefault="00DF147D" w:rsidP="00A7547F">
      <w:pPr>
        <w:ind w:right="-90"/>
        <w:jc w:val="both"/>
        <w:rPr>
          <w:rFonts w:ascii="Abadi" w:hAnsi="Abadi"/>
          <w:sz w:val="24"/>
          <w:szCs w:val="24"/>
          <w:lang w:val="en-US"/>
        </w:rPr>
      </w:pPr>
    </w:p>
    <w:p w14:paraId="13D95724" w14:textId="77777777" w:rsidR="00A7547F" w:rsidRDefault="00A7547F" w:rsidP="00A7547F">
      <w:pPr>
        <w:pBdr>
          <w:bottom w:val="single" w:sz="6" w:space="0" w:color="CC0000"/>
        </w:pBdr>
        <w:ind w:right="-90"/>
        <w:jc w:val="both"/>
        <w:rPr>
          <w:rFonts w:ascii="Abadi" w:eastAsia="Calibri" w:hAnsi="Abadi" w:cs="Calibri"/>
          <w:b/>
          <w:bCs/>
          <w:color w:val="1A1A1A"/>
          <w:sz w:val="24"/>
          <w:szCs w:val="24"/>
          <w:lang w:val="en-US"/>
        </w:rPr>
      </w:pPr>
    </w:p>
    <w:p w14:paraId="29C2F240" w14:textId="31F80B61" w:rsidR="00DF147D" w:rsidRPr="00FF37C1" w:rsidRDefault="00000000" w:rsidP="00A7547F">
      <w:pPr>
        <w:pBdr>
          <w:bottom w:val="single" w:sz="6" w:space="0" w:color="CC0000"/>
        </w:pBdr>
        <w:ind w:right="-90"/>
        <w:jc w:val="both"/>
        <w:rPr>
          <w:rFonts w:ascii="Abadi" w:hAnsi="Abadi"/>
          <w:sz w:val="24"/>
          <w:szCs w:val="24"/>
          <w:lang w:val="en-US"/>
        </w:rPr>
      </w:pPr>
      <w:r>
        <w:rPr>
          <w:rFonts w:ascii="Abadi" w:eastAsia="Calibri" w:hAnsi="Abadi" w:cs="Calibri"/>
          <w:b/>
          <w:bCs/>
          <w:color w:val="1A1A1A"/>
          <w:sz w:val="24"/>
          <w:szCs w:val="24"/>
          <w:lang w:val="en-US"/>
        </w:rPr>
        <w:t>3.2  Chevron Operations: The Axis of the Energy Agreement</w:t>
      </w:r>
    </w:p>
    <w:p w14:paraId="15AEEE8B" w14:textId="77777777" w:rsidR="00A7547F" w:rsidRDefault="00A7547F" w:rsidP="00A7547F">
      <w:pPr>
        <w:ind w:right="-90" w:firstLine="720"/>
        <w:jc w:val="both"/>
        <w:rPr>
          <w:rFonts w:ascii="Abadi" w:eastAsia="Calibri" w:hAnsi="Abadi" w:cs="Calibri"/>
          <w:color w:val="1A1A1A"/>
          <w:sz w:val="24"/>
          <w:szCs w:val="24"/>
          <w:lang w:val="en-US"/>
        </w:rPr>
      </w:pPr>
    </w:p>
    <w:p w14:paraId="36D45459" w14:textId="13F0BDD2" w:rsidR="00DF147D" w:rsidRDefault="00000000" w:rsidP="00A7547F">
      <w:pPr>
        <w:ind w:right="-90" w:firstLine="720"/>
        <w:jc w:val="both"/>
        <w:rPr>
          <w:rFonts w:ascii="Abadi" w:eastAsia="Calibri" w:hAnsi="Abadi" w:cs="Calibri"/>
          <w:color w:val="1A1A1A"/>
          <w:sz w:val="24"/>
          <w:szCs w:val="24"/>
          <w:lang w:val="en-US"/>
        </w:rPr>
      </w:pPr>
      <w:r>
        <w:rPr>
          <w:rFonts w:ascii="Abadi" w:eastAsia="Calibri" w:hAnsi="Abadi" w:cs="Calibri"/>
          <w:color w:val="1A1A1A"/>
          <w:sz w:val="24"/>
          <w:szCs w:val="24"/>
          <w:lang w:val="en-US"/>
        </w:rPr>
        <w:t>In 2024-2025, Chevron Corporation operates in Venezuela under General License 41 from the U.S. Department of the Treasury (OFAC), producing approximately 310,000 bpd through its joint ventures with PDVSA, primarily in the Orinoco Belt. This volume represents approximately 30% of Venezuela's national production.</w:t>
      </w:r>
    </w:p>
    <w:p w14:paraId="30089927" w14:textId="77777777" w:rsidR="00A7547F" w:rsidRPr="00FF37C1" w:rsidRDefault="00A7547F" w:rsidP="00A7547F">
      <w:pPr>
        <w:ind w:right="-90" w:firstLine="720"/>
        <w:jc w:val="both"/>
        <w:rPr>
          <w:rFonts w:ascii="Abadi" w:hAnsi="Abadi"/>
          <w:sz w:val="24"/>
          <w:szCs w:val="24"/>
          <w:lang w:val="en-US"/>
        </w:rPr>
      </w:pPr>
    </w:p>
    <w:p w14:paraId="0AB49EAC" w14:textId="77777777" w:rsidR="00DF147D" w:rsidRDefault="00000000" w:rsidP="00A7547F">
      <w:pPr>
        <w:ind w:right="-90" w:firstLine="720"/>
        <w:jc w:val="both"/>
        <w:rPr>
          <w:rFonts w:ascii="Abadi" w:eastAsia="Calibri" w:hAnsi="Abadi" w:cs="Calibri"/>
          <w:color w:val="1A1A1A"/>
          <w:sz w:val="24"/>
          <w:szCs w:val="24"/>
          <w:lang w:val="en-US"/>
        </w:rPr>
      </w:pPr>
      <w:r>
        <w:rPr>
          <w:rFonts w:ascii="Abadi" w:eastAsia="Calibri" w:hAnsi="Abadi" w:cs="Calibri"/>
          <w:color w:val="1A1A1A"/>
          <w:sz w:val="24"/>
          <w:szCs w:val="24"/>
          <w:lang w:val="en-US"/>
        </w:rPr>
        <w:t>In September 2026, days after the signing of the energy agreement between Washington and Caracas, Chevron announced the expansion of its Venezuelan operations with a committed investment of USD $7 billion over a five-year horizon, with the goal of doubling its current production to 600,000 bpd. This expansion includes the incorporation of two new areas in the Carabobo region and the modernization of extra-heavy crude upgrading facilities.</w:t>
      </w:r>
    </w:p>
    <w:p w14:paraId="6E4F2584" w14:textId="77777777" w:rsidR="00A7547F" w:rsidRPr="00FF37C1" w:rsidRDefault="00A7547F" w:rsidP="00A7547F">
      <w:pPr>
        <w:ind w:right="-90" w:firstLine="720"/>
        <w:jc w:val="both"/>
        <w:rPr>
          <w:rFonts w:ascii="Abadi" w:hAnsi="Abadi"/>
          <w:sz w:val="24"/>
          <w:szCs w:val="24"/>
          <w:lang w:val="en-US"/>
        </w:rPr>
      </w:pPr>
    </w:p>
    <w:tbl>
      <w:tblPr>
        <w:tblW w:w="10165" w:type="dxa"/>
        <w:tblBorders>
          <w:top w:val="single" w:sz="4" w:space="0" w:color="999999"/>
          <w:left w:val="single" w:sz="4" w:space="0" w:color="999999"/>
          <w:bottom w:val="single" w:sz="4" w:space="0" w:color="999999"/>
          <w:right w:val="single" w:sz="4" w:space="0" w:color="999999"/>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360"/>
        <w:gridCol w:w="3360"/>
        <w:gridCol w:w="3445"/>
      </w:tblGrid>
      <w:tr w:rsidR="00DF147D" w:rsidRPr="00A7547F" w14:paraId="5F87A7B7" w14:textId="77777777" w:rsidTr="00A7547F">
        <w:tblPrEx>
          <w:tblCellMar>
            <w:top w:w="0" w:type="dxa"/>
            <w:bottom w:w="0" w:type="dxa"/>
          </w:tblCellMar>
        </w:tblPrEx>
        <w:tc>
          <w:tcPr>
            <w:tcW w:w="3360"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4E37D2C6" w14:textId="77777777" w:rsidR="00DF147D" w:rsidRPr="00A7547F" w:rsidRDefault="00000000" w:rsidP="00A7547F">
            <w:pPr>
              <w:ind w:right="-90"/>
              <w:jc w:val="center"/>
              <w:rPr>
                <w:rFonts w:ascii="Abadi" w:hAnsi="Abadi"/>
                <w:sz w:val="22"/>
                <w:szCs w:val="22"/>
                <w:lang w:val="en-US"/>
              </w:rPr>
            </w:pPr>
            <w:r>
              <w:rPr>
                <w:rFonts w:ascii="Abadi" w:eastAsia="Calibri" w:hAnsi="Abadi" w:cs="Calibri"/>
                <w:b/>
                <w:bCs/>
                <w:color w:val="FFFFFF"/>
                <w:sz w:val="22"/>
                <w:szCs w:val="22"/>
                <w:lang w:val="en-US"/>
              </w:rPr>
              <w:t>Parameter</w:t>
            </w:r>
          </w:p>
        </w:tc>
        <w:tc>
          <w:tcPr>
            <w:tcW w:w="3360"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4E9DC8CD" w14:textId="77777777" w:rsidR="00DF147D" w:rsidRPr="00A7547F" w:rsidRDefault="00000000" w:rsidP="00A7547F">
            <w:pPr>
              <w:ind w:right="-90"/>
              <w:jc w:val="center"/>
              <w:rPr>
                <w:rFonts w:ascii="Abadi" w:hAnsi="Abadi"/>
                <w:sz w:val="22"/>
                <w:szCs w:val="22"/>
                <w:lang w:val="en-US"/>
              </w:rPr>
            </w:pPr>
            <w:r>
              <w:rPr>
                <w:rFonts w:ascii="Abadi" w:eastAsia="Calibri" w:hAnsi="Abadi" w:cs="Calibri"/>
                <w:b/>
                <w:bCs/>
                <w:color w:val="FFFFFF"/>
                <w:sz w:val="22"/>
                <w:szCs w:val="22"/>
                <w:lang w:val="en-US"/>
              </w:rPr>
              <w:t>Current Status (2025-2026)</w:t>
            </w:r>
          </w:p>
        </w:tc>
        <w:tc>
          <w:tcPr>
            <w:tcW w:w="3445"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162D3645" w14:textId="77777777" w:rsidR="00DF147D" w:rsidRPr="00A7547F" w:rsidRDefault="00000000" w:rsidP="00A7547F">
            <w:pPr>
              <w:ind w:right="-90"/>
              <w:jc w:val="center"/>
              <w:rPr>
                <w:rFonts w:ascii="Abadi" w:hAnsi="Abadi"/>
                <w:sz w:val="22"/>
                <w:szCs w:val="22"/>
                <w:lang w:val="en-US"/>
              </w:rPr>
            </w:pPr>
            <w:r>
              <w:rPr>
                <w:rFonts w:ascii="Abadi" w:eastAsia="Calibri" w:hAnsi="Abadi" w:cs="Calibri"/>
                <w:b/>
                <w:bCs/>
                <w:color w:val="FFFFFF"/>
                <w:sz w:val="22"/>
                <w:szCs w:val="22"/>
                <w:lang w:val="en-US"/>
              </w:rPr>
              <w:t>Meta 5 Years</w:t>
            </w:r>
          </w:p>
        </w:tc>
      </w:tr>
      <w:tr w:rsidR="00DF147D" w:rsidRPr="00A7547F" w14:paraId="48E153DC" w14:textId="77777777" w:rsidTr="00A7547F">
        <w:tblPrEx>
          <w:tblCellMar>
            <w:top w:w="0" w:type="dxa"/>
            <w:bottom w:w="0" w:type="dxa"/>
          </w:tblCellMar>
        </w:tblPrEx>
        <w:tc>
          <w:tcPr>
            <w:tcW w:w="336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723A0F96"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Chevron Production</w:t>
            </w:r>
          </w:p>
        </w:tc>
        <w:tc>
          <w:tcPr>
            <w:tcW w:w="336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3874F437"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~310,000 bpd</w:t>
            </w:r>
          </w:p>
        </w:tc>
        <w:tc>
          <w:tcPr>
            <w:tcW w:w="3445"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79C9AC3B"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600,000 bpd</w:t>
            </w:r>
          </w:p>
        </w:tc>
      </w:tr>
      <w:tr w:rsidR="00DF147D" w:rsidRPr="00A7547F" w14:paraId="714B5248" w14:textId="77777777" w:rsidTr="00A7547F">
        <w:tblPrEx>
          <w:tblCellMar>
            <w:top w:w="0" w:type="dxa"/>
            <w:bottom w:w="0" w:type="dxa"/>
          </w:tblCellMar>
        </w:tblPrEx>
        <w:tc>
          <w:tcPr>
            <w:tcW w:w="336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075B05A7"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Committed Investment</w:t>
            </w:r>
          </w:p>
        </w:tc>
        <w:tc>
          <w:tcPr>
            <w:tcW w:w="336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49F48C44"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Existing operations</w:t>
            </w:r>
          </w:p>
        </w:tc>
        <w:tc>
          <w:tcPr>
            <w:tcW w:w="3445"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45B5FA2C"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USD $7,000 millones</w:t>
            </w:r>
          </w:p>
        </w:tc>
      </w:tr>
      <w:tr w:rsidR="00DF147D" w:rsidRPr="00A7547F" w14:paraId="007C3AF1" w14:textId="77777777" w:rsidTr="00A7547F">
        <w:tblPrEx>
          <w:tblCellMar>
            <w:top w:w="0" w:type="dxa"/>
            <w:bottom w:w="0" w:type="dxa"/>
          </w:tblCellMar>
        </w:tblPrEx>
        <w:tc>
          <w:tcPr>
            <w:tcW w:w="336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71A08E5D"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Lifting cost</w:t>
            </w:r>
          </w:p>
        </w:tc>
        <w:tc>
          <w:tcPr>
            <w:tcW w:w="336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37826984"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&lt;$20/bbl (reportado)</w:t>
            </w:r>
          </w:p>
        </w:tc>
        <w:tc>
          <w:tcPr>
            <w:tcW w:w="3445"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2116BDCE"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&lt;$20/bbl (estimado)</w:t>
            </w:r>
          </w:p>
        </w:tc>
      </w:tr>
      <w:tr w:rsidR="00DF147D" w:rsidRPr="00A7547F" w14:paraId="74318260" w14:textId="77777777" w:rsidTr="00A7547F">
        <w:tblPrEx>
          <w:tblCellMar>
            <w:top w:w="0" w:type="dxa"/>
            <w:bottom w:w="0" w:type="dxa"/>
          </w:tblCellMar>
        </w:tblPrEx>
        <w:tc>
          <w:tcPr>
            <w:tcW w:w="336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38EDDE62"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Joint ventures</w:t>
            </w:r>
          </w:p>
        </w:tc>
        <w:tc>
          <w:tcPr>
            <w:tcW w:w="336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18791D3D"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 xml:space="preserve">Petroindependencia + otros</w:t>
            </w:r>
          </w:p>
        </w:tc>
        <w:tc>
          <w:tcPr>
            <w:tcW w:w="3445"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79635E9C"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+ 2 new Carabobo areas</w:t>
            </w:r>
          </w:p>
        </w:tc>
      </w:tr>
      <w:tr w:rsidR="00DF147D" w:rsidRPr="00A7547F" w14:paraId="19E7CB87" w14:textId="77777777" w:rsidTr="00A7547F">
        <w:tblPrEx>
          <w:tblCellMar>
            <w:top w:w="0" w:type="dxa"/>
            <w:bottom w:w="0" w:type="dxa"/>
          </w:tblCellMar>
        </w:tblPrEx>
        <w:tc>
          <w:tcPr>
            <w:tcW w:w="336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2A6398E2"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Crude destination</w:t>
            </w:r>
          </w:p>
        </w:tc>
        <w:tc>
          <w:tcPr>
            <w:tcW w:w="336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49ECE141"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U.S. Refineries (Gulf Coast)</w:t>
            </w:r>
          </w:p>
        </w:tc>
        <w:tc>
          <w:tcPr>
            <w:tcW w:w="3445"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1F8A5B93"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U.S. + strategic reserves</w:t>
            </w:r>
          </w:p>
        </w:tc>
      </w:tr>
    </w:tbl>
    <w:p w14:paraId="6C77CB90" w14:textId="77777777" w:rsidR="00DF147D" w:rsidRPr="00A7547F" w:rsidRDefault="00000000" w:rsidP="00A7547F">
      <w:pPr>
        <w:ind w:right="-90"/>
        <w:jc w:val="both"/>
        <w:rPr>
          <w:rFonts w:ascii="Abadi" w:hAnsi="Abadi"/>
          <w:b/>
          <w:bCs/>
        </w:rPr>
      </w:pPr>
      <w:r>
        <w:rPr>
          <w:rFonts w:ascii="Abadi" w:eastAsia="Calibri" w:hAnsi="Abadi" w:cs="Calibri"/>
          <w:b/>
          <w:bCs/>
          <w:i/>
          <w:iCs/>
        </w:rPr>
        <w:t xml:space="preserve">Sources: Khaleej Times (sep. 2026); NPR (sep. 2026); OilNow (2025).</w:t>
      </w:r>
    </w:p>
    <w:p w14:paraId="4AC94521" w14:textId="77777777" w:rsidR="00DF147D" w:rsidRPr="00FF37C1" w:rsidRDefault="00DF147D" w:rsidP="00A7547F">
      <w:pPr>
        <w:ind w:right="-90"/>
        <w:jc w:val="both"/>
        <w:rPr>
          <w:rFonts w:ascii="Abadi" w:hAnsi="Abadi"/>
          <w:sz w:val="24"/>
          <w:szCs w:val="24"/>
        </w:rPr>
      </w:pPr>
    </w:p>
    <w:p w14:paraId="7151122A" w14:textId="77777777" w:rsidR="00A7547F" w:rsidRPr="00A7547F" w:rsidRDefault="00A7547F" w:rsidP="00A7547F">
      <w:pPr>
        <w:pBdr>
          <w:bottom w:val="single" w:sz="6" w:space="0" w:color="CC0000"/>
        </w:pBdr>
        <w:ind w:right="-90"/>
        <w:jc w:val="both"/>
        <w:rPr>
          <w:rFonts w:ascii="Abadi" w:eastAsia="Calibri" w:hAnsi="Abadi" w:cs="Calibri"/>
          <w:b/>
          <w:bCs/>
          <w:color w:val="1A1A1A"/>
          <w:sz w:val="24"/>
          <w:szCs w:val="24"/>
        </w:rPr>
      </w:pPr>
    </w:p>
    <w:p w14:paraId="266DD988" w14:textId="4CAF049E" w:rsidR="00DF147D" w:rsidRPr="00FF37C1" w:rsidRDefault="00000000" w:rsidP="00A7547F">
      <w:pPr>
        <w:pBdr>
          <w:bottom w:val="single" w:sz="6" w:space="0" w:color="CC0000"/>
        </w:pBdr>
        <w:ind w:right="-90"/>
        <w:jc w:val="both"/>
        <w:rPr>
          <w:rFonts w:ascii="Abadi" w:hAnsi="Abadi"/>
          <w:sz w:val="24"/>
          <w:szCs w:val="24"/>
          <w:lang w:val="en-US"/>
        </w:rPr>
      </w:pPr>
      <w:r>
        <w:rPr>
          <w:rFonts w:ascii="Abadi" w:eastAsia="Calibri" w:hAnsi="Abadi" w:cs="Calibri"/>
          <w:b/>
          <w:bCs/>
          <w:color w:val="1A1A1A"/>
          <w:sz w:val="24"/>
          <w:szCs w:val="24"/>
          <w:lang w:val="en-US"/>
        </w:rPr>
        <w:t>3.3  Competitive Position and Export Flows</w:t>
      </w:r>
    </w:p>
    <w:p w14:paraId="1E054EDC" w14:textId="77777777" w:rsidR="00A7547F" w:rsidRDefault="00A7547F" w:rsidP="00A7547F">
      <w:pPr>
        <w:ind w:right="-90" w:firstLine="720"/>
        <w:jc w:val="both"/>
        <w:rPr>
          <w:rFonts w:ascii="Abadi" w:eastAsia="Calibri" w:hAnsi="Abadi" w:cs="Calibri"/>
          <w:color w:val="1A1A1A"/>
          <w:sz w:val="24"/>
          <w:szCs w:val="24"/>
          <w:lang w:val="en-US"/>
        </w:rPr>
      </w:pPr>
    </w:p>
    <w:p w14:paraId="5F3F0860" w14:textId="5A377EB8" w:rsidR="00DF147D" w:rsidRDefault="00000000" w:rsidP="00A7547F">
      <w:pPr>
        <w:ind w:right="-90" w:firstLine="720"/>
        <w:jc w:val="both"/>
        <w:rPr>
          <w:rFonts w:ascii="Abadi" w:eastAsia="Calibri" w:hAnsi="Abadi" w:cs="Calibri"/>
          <w:color w:val="1A1A1A"/>
          <w:sz w:val="24"/>
          <w:szCs w:val="24"/>
          <w:lang w:val="en-US"/>
        </w:rPr>
      </w:pPr>
      <w:r>
        <w:rPr>
          <w:rFonts w:ascii="Abadi" w:eastAsia="Calibri" w:hAnsi="Abadi" w:cs="Calibri"/>
          <w:color w:val="1A1A1A"/>
          <w:sz w:val="24"/>
          <w:szCs w:val="24"/>
          <w:lang w:val="en-US"/>
        </w:rPr>
        <w:t xml:space="preserve">The EIA and Reuters report that U.S. imports of Venezuelan crude in 2025 are around 300,000-400,000 bpd under Chevron's current license. In 2026, Venezuela positioned itself as the second crude supplier to the U.S. for 18 consecutive weeks (Rio </w:t>
        <w:lastRenderedPageBreak/>
        <w:t>Times Online, Sep. 2026), reflecting the sustained increase in operations volume under the agreement.</w:t>
      </w:r>
    </w:p>
    <w:p w14:paraId="51A13D68" w14:textId="77777777" w:rsidR="00A7547F" w:rsidRPr="00FF37C1" w:rsidRDefault="00A7547F" w:rsidP="00A7547F">
      <w:pPr>
        <w:ind w:right="-90" w:firstLine="720"/>
        <w:jc w:val="both"/>
        <w:rPr>
          <w:rFonts w:ascii="Abadi" w:hAnsi="Abadi"/>
          <w:sz w:val="24"/>
          <w:szCs w:val="24"/>
          <w:lang w:val="en-US"/>
        </w:rPr>
      </w:pPr>
    </w:p>
    <w:tbl>
      <w:tblPr>
        <w:tblW w:w="10165" w:type="dxa"/>
        <w:tblBorders>
          <w:top w:val="single" w:sz="4" w:space="0" w:color="999999"/>
          <w:left w:val="single" w:sz="4" w:space="0" w:color="999999"/>
          <w:bottom w:val="single" w:sz="4" w:space="0" w:color="999999"/>
          <w:right w:val="single" w:sz="4" w:space="0" w:color="999999"/>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16"/>
        <w:gridCol w:w="2016"/>
        <w:gridCol w:w="2016"/>
        <w:gridCol w:w="2016"/>
        <w:gridCol w:w="2101"/>
      </w:tblGrid>
      <w:tr w:rsidR="00DF147D" w:rsidRPr="00A7547F" w14:paraId="5F6CBDEB" w14:textId="77777777" w:rsidTr="00A7547F">
        <w:tblPrEx>
          <w:tblCellMar>
            <w:top w:w="0" w:type="dxa"/>
            <w:bottom w:w="0" w:type="dxa"/>
          </w:tblCellMar>
        </w:tblPrEx>
        <w:tc>
          <w:tcPr>
            <w:tcW w:w="2016"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10314024" w14:textId="77777777" w:rsidR="00DF147D" w:rsidRPr="00A7547F" w:rsidRDefault="00000000" w:rsidP="00A7547F">
            <w:pPr>
              <w:ind w:right="-90"/>
              <w:jc w:val="center"/>
              <w:rPr>
                <w:rFonts w:ascii="Abadi" w:hAnsi="Abadi"/>
                <w:sz w:val="22"/>
                <w:szCs w:val="22"/>
                <w:lang w:val="en-US"/>
              </w:rPr>
            </w:pPr>
            <w:r>
              <w:rPr>
                <w:rFonts w:ascii="Abadi" w:eastAsia="Calibri" w:hAnsi="Abadi" w:cs="Calibri"/>
                <w:b/>
                <w:bCs/>
                <w:color w:val="FFFFFF"/>
                <w:sz w:val="22"/>
                <w:szCs w:val="22"/>
                <w:lang w:val="en-US"/>
              </w:rPr>
              <w:t>Producer</w:t>
            </w:r>
          </w:p>
        </w:tc>
        <w:tc>
          <w:tcPr>
            <w:tcW w:w="2016"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4C7662D2" w14:textId="77777777" w:rsidR="00DF147D" w:rsidRPr="00A7547F" w:rsidRDefault="00000000" w:rsidP="00A7547F">
            <w:pPr>
              <w:ind w:right="-90"/>
              <w:jc w:val="center"/>
              <w:rPr>
                <w:rFonts w:ascii="Abadi" w:hAnsi="Abadi"/>
                <w:sz w:val="22"/>
                <w:szCs w:val="22"/>
                <w:lang w:val="en-US"/>
              </w:rPr>
            </w:pPr>
            <w:r>
              <w:rPr>
                <w:rFonts w:ascii="Abadi" w:eastAsia="Calibri" w:hAnsi="Abadi" w:cs="Calibri"/>
                <w:b/>
                <w:bCs/>
                <w:color w:val="FFFFFF"/>
                <w:sz w:val="22"/>
                <w:szCs w:val="22"/>
                <w:lang w:val="en-US"/>
              </w:rPr>
              <w:t>Extraction Cost (USD/bbl)</w:t>
            </w:r>
          </w:p>
        </w:tc>
        <w:tc>
          <w:tcPr>
            <w:tcW w:w="2016"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74B9DF8A" w14:textId="77777777" w:rsidR="00DF147D" w:rsidRPr="00A7547F" w:rsidRDefault="00000000" w:rsidP="00A7547F">
            <w:pPr>
              <w:ind w:right="-90"/>
              <w:jc w:val="center"/>
              <w:rPr>
                <w:rFonts w:ascii="Abadi" w:hAnsi="Abadi"/>
                <w:sz w:val="22"/>
                <w:szCs w:val="22"/>
                <w:lang w:val="en-US"/>
              </w:rPr>
            </w:pPr>
            <w:r>
              <w:rPr>
                <w:rFonts w:ascii="Abadi" w:eastAsia="Calibri" w:hAnsi="Abadi" w:cs="Calibri"/>
                <w:b/>
                <w:bCs/>
                <w:color w:val="FFFFFF"/>
                <w:sz w:val="22"/>
                <w:szCs w:val="22"/>
                <w:lang w:val="en-US"/>
              </w:rPr>
              <w:t xml:space="preserve">Break-even (USD/bbl)</w:t>
            </w:r>
          </w:p>
        </w:tc>
        <w:tc>
          <w:tcPr>
            <w:tcW w:w="2016"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19C19564" w14:textId="77777777" w:rsidR="00DF147D" w:rsidRPr="00A7547F" w:rsidRDefault="00000000" w:rsidP="00A7547F">
            <w:pPr>
              <w:ind w:right="-90"/>
              <w:jc w:val="center"/>
              <w:rPr>
                <w:rFonts w:ascii="Abadi" w:hAnsi="Abadi"/>
                <w:sz w:val="22"/>
                <w:szCs w:val="22"/>
                <w:lang w:val="en-US"/>
              </w:rPr>
            </w:pPr>
            <w:r>
              <w:rPr>
                <w:rFonts w:ascii="Abadi" w:eastAsia="Calibri" w:hAnsi="Abadi" w:cs="Calibri"/>
                <w:b/>
                <w:bCs/>
                <w:color w:val="FFFFFF"/>
                <w:sz w:val="22"/>
                <w:szCs w:val="22"/>
                <w:lang w:val="en-US"/>
              </w:rPr>
              <w:t>Distance to U.S.</w:t>
            </w:r>
          </w:p>
        </w:tc>
        <w:tc>
          <w:tcPr>
            <w:tcW w:w="2101"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328CD24E" w14:textId="77777777" w:rsidR="00DF147D" w:rsidRPr="00A7547F" w:rsidRDefault="00000000" w:rsidP="00A7547F">
            <w:pPr>
              <w:ind w:right="-90"/>
              <w:jc w:val="center"/>
              <w:rPr>
                <w:rFonts w:ascii="Abadi" w:hAnsi="Abadi"/>
                <w:sz w:val="22"/>
                <w:szCs w:val="22"/>
                <w:lang w:val="en-US"/>
              </w:rPr>
            </w:pPr>
            <w:r>
              <w:rPr>
                <w:rFonts w:ascii="Abadi" w:eastAsia="Calibri" w:hAnsi="Abadi" w:cs="Calibri"/>
                <w:b/>
                <w:bCs/>
                <w:color w:val="FFFFFF"/>
                <w:sz w:val="22"/>
                <w:szCs w:val="22"/>
                <w:lang w:val="en-US"/>
              </w:rPr>
              <w:t>API</w:t>
            </w:r>
          </w:p>
        </w:tc>
      </w:tr>
      <w:tr w:rsidR="00DF147D" w:rsidRPr="00A7547F" w14:paraId="362662D8" w14:textId="77777777" w:rsidTr="00A7547F">
        <w:tblPrEx>
          <w:tblCellMar>
            <w:top w:w="0" w:type="dxa"/>
            <w:bottom w:w="0" w:type="dxa"/>
          </w:tblCellMar>
        </w:tblPrEx>
        <w:tc>
          <w:tcPr>
            <w:tcW w:w="2016"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69BEDA6D"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Venezuela (Orinoco)</w:t>
            </w:r>
          </w:p>
        </w:tc>
        <w:tc>
          <w:tcPr>
            <w:tcW w:w="2016"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59CE83AD"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~$20-26</w:t>
            </w:r>
          </w:p>
        </w:tc>
        <w:tc>
          <w:tcPr>
            <w:tcW w:w="2016"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629E7C41"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~$55-80*</w:t>
            </w:r>
          </w:p>
        </w:tc>
        <w:tc>
          <w:tcPr>
            <w:tcW w:w="2016"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7511C5D7"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5 days (East)</w:t>
            </w:r>
          </w:p>
        </w:tc>
        <w:tc>
          <w:tcPr>
            <w:tcW w:w="2101"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45DFCF74"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8-12°</w:t>
            </w:r>
          </w:p>
        </w:tc>
      </w:tr>
      <w:tr w:rsidR="00DF147D" w:rsidRPr="00A7547F" w14:paraId="7C518602" w14:textId="77777777" w:rsidTr="00A7547F">
        <w:tblPrEx>
          <w:tblCellMar>
            <w:top w:w="0" w:type="dxa"/>
            <w:bottom w:w="0" w:type="dxa"/>
          </w:tblCellMar>
        </w:tblPrEx>
        <w:tc>
          <w:tcPr>
            <w:tcW w:w="2016"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79AAB9CE"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 xml:space="preserve">Canada (Oil Sands)</w:t>
            </w:r>
          </w:p>
        </w:tc>
        <w:tc>
          <w:tcPr>
            <w:tcW w:w="2016"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25A6FCAA"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~$55-65</w:t>
            </w:r>
          </w:p>
        </w:tc>
        <w:tc>
          <w:tcPr>
            <w:tcW w:w="2016"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1237BDBB"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~$60-70</w:t>
            </w:r>
          </w:p>
        </w:tc>
        <w:tc>
          <w:tcPr>
            <w:tcW w:w="2016"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7F767CB5"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3-5 days (pipeline)</w:t>
            </w:r>
          </w:p>
        </w:tc>
        <w:tc>
          <w:tcPr>
            <w:tcW w:w="2101"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7F9B1A6B"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&lt;10°</w:t>
            </w:r>
          </w:p>
        </w:tc>
      </w:tr>
      <w:tr w:rsidR="00DF147D" w:rsidRPr="00A7547F" w14:paraId="19832DEE" w14:textId="77777777" w:rsidTr="00A7547F">
        <w:tblPrEx>
          <w:tblCellMar>
            <w:top w:w="0" w:type="dxa"/>
            <w:bottom w:w="0" w:type="dxa"/>
          </w:tblCellMar>
        </w:tblPrEx>
        <w:tc>
          <w:tcPr>
            <w:tcW w:w="2016"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5E8F06C4"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 xml:space="preserve">U.S. (Permian Basin)</w:t>
            </w:r>
          </w:p>
        </w:tc>
        <w:tc>
          <w:tcPr>
            <w:tcW w:w="2016"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300379C7"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~$50-60</w:t>
            </w:r>
          </w:p>
        </w:tc>
        <w:tc>
          <w:tcPr>
            <w:tcW w:w="2016"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10638257"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~$57-65</w:t>
            </w:r>
          </w:p>
        </w:tc>
        <w:tc>
          <w:tcPr>
            <w:tcW w:w="2016"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548BFC2D"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Domestic</w:t>
            </w:r>
          </w:p>
        </w:tc>
        <w:tc>
          <w:tcPr>
            <w:tcW w:w="2101"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19562982"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40-45°</w:t>
            </w:r>
          </w:p>
        </w:tc>
      </w:tr>
      <w:tr w:rsidR="00DF147D" w:rsidRPr="00A7547F" w14:paraId="1C87CAD5" w14:textId="77777777" w:rsidTr="00A7547F">
        <w:tblPrEx>
          <w:tblCellMar>
            <w:top w:w="0" w:type="dxa"/>
            <w:bottom w:w="0" w:type="dxa"/>
          </w:tblCellMar>
        </w:tblPrEx>
        <w:tc>
          <w:tcPr>
            <w:tcW w:w="2016"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5885C4CC"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Saudi Arabia (Aramco)</w:t>
            </w:r>
          </w:p>
        </w:tc>
        <w:tc>
          <w:tcPr>
            <w:tcW w:w="2016"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1EDBAEF0"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&lt;$10</w:t>
            </w:r>
          </w:p>
        </w:tc>
        <w:tc>
          <w:tcPr>
            <w:tcW w:w="2016"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6CD2E515"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~$65-70 (fiscal)</w:t>
            </w:r>
          </w:p>
        </w:tc>
        <w:tc>
          <w:tcPr>
            <w:tcW w:w="2016"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71AB43CC"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45 days (Gulf)</w:t>
            </w:r>
          </w:p>
        </w:tc>
        <w:tc>
          <w:tcPr>
            <w:tcW w:w="2101"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5254DBF9" w14:textId="77777777" w:rsidR="00DF147D" w:rsidRPr="00A7547F" w:rsidRDefault="00000000" w:rsidP="00A7547F">
            <w:pPr>
              <w:ind w:right="-90"/>
              <w:jc w:val="center"/>
              <w:rPr>
                <w:rFonts w:ascii="Abadi" w:hAnsi="Abadi"/>
                <w:sz w:val="22"/>
                <w:szCs w:val="22"/>
                <w:lang w:val="en-US"/>
              </w:rPr>
            </w:pPr>
            <w:r>
              <w:rPr>
                <w:rFonts w:ascii="Abadi" w:eastAsia="Calibri" w:hAnsi="Abadi" w:cs="Calibri"/>
                <w:color w:val="1A1A1A"/>
                <w:sz w:val="22"/>
                <w:szCs w:val="22"/>
                <w:lang w:val="en-US"/>
              </w:rPr>
              <w:t>32-40°</w:t>
            </w:r>
          </w:p>
        </w:tc>
      </w:tr>
    </w:tbl>
    <w:p w14:paraId="207D0C05" w14:textId="77777777" w:rsidR="00DF147D" w:rsidRPr="00A7547F" w:rsidRDefault="00000000" w:rsidP="00A7547F">
      <w:pPr>
        <w:ind w:right="-90"/>
        <w:jc w:val="both"/>
        <w:rPr>
          <w:rFonts w:ascii="Abadi" w:hAnsi="Abadi"/>
          <w:b/>
          <w:bCs/>
          <w:lang w:val="en-US"/>
        </w:rPr>
      </w:pPr>
      <w:r>
        <w:rPr>
          <w:rFonts w:ascii="Abadi" w:eastAsia="Calibri" w:hAnsi="Abadi" w:cs="Calibri"/>
          <w:b/>
          <w:bCs/>
          <w:i/>
          <w:iCs/>
          <w:lang w:val="en-US"/>
        </w:rPr>
        <w:t xml:space="preserve">*Venezuelan break-even includes upgrading costs for extra-heavy crude. Source: BloombergNEF; Rystad Energy; OilPrice.com.</w:t>
      </w:r>
    </w:p>
    <w:p w14:paraId="7842EFF5" w14:textId="77777777" w:rsidR="00DF147D" w:rsidRPr="00A7547F" w:rsidRDefault="00DF147D" w:rsidP="00A7547F">
      <w:pPr>
        <w:ind w:right="-90"/>
        <w:jc w:val="both"/>
        <w:rPr>
          <w:rFonts w:ascii="Abadi" w:hAnsi="Abadi"/>
          <w:sz w:val="24"/>
          <w:szCs w:val="24"/>
          <w:lang w:val="en-US"/>
        </w:rPr>
      </w:pPr>
    </w:p>
    <w:tbl>
      <w:tblPr>
        <w:tblW w:w="10170" w:type="dxa"/>
        <w:tblBorders>
          <w:top w:val="single" w:sz="4" w:space="0" w:color="999999"/>
          <w:left w:val="single" w:sz="4" w:space="0" w:color="999999"/>
          <w:bottom w:val="single" w:sz="4" w:space="0" w:color="999999"/>
          <w:right w:val="single" w:sz="4" w:space="0" w:color="999999"/>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170"/>
      </w:tblGrid>
      <w:tr w:rsidR="00DF147D" w:rsidRPr="00FF37C1" w14:paraId="0535063E" w14:textId="77777777" w:rsidTr="0018255F">
        <w:tblPrEx>
          <w:tblCellMar>
            <w:top w:w="0" w:type="dxa"/>
            <w:bottom w:w="0" w:type="dxa"/>
          </w:tblCellMar>
        </w:tblPrEx>
        <w:tc>
          <w:tcPr>
            <w:tcW w:w="10170" w:type="dxa"/>
            <w:tcBorders>
              <w:top w:val="none" w:sz="0" w:space="0" w:color="FFFFFF"/>
              <w:left w:val="none" w:sz="0" w:space="0" w:color="FFFFFF"/>
              <w:bottom w:val="none" w:sz="0" w:space="0" w:color="FFFFFF"/>
              <w:right w:val="none" w:sz="0" w:space="0" w:color="FFFFFF"/>
            </w:tcBorders>
            <w:shd w:val="clear" w:color="auto" w:fill="E8E8E8"/>
            <w:tcMar>
              <w:top w:w="80" w:type="dxa"/>
              <w:left w:w="160" w:type="dxa"/>
              <w:bottom w:w="80" w:type="dxa"/>
              <w:right w:w="160" w:type="dxa"/>
            </w:tcMar>
          </w:tcPr>
          <w:p w14:paraId="3AFC8988" w14:textId="4F9E3374" w:rsidR="00DF147D" w:rsidRPr="00FF37C1" w:rsidRDefault="00000000" w:rsidP="00A7547F">
            <w:pPr>
              <w:ind w:right="-90"/>
              <w:jc w:val="both"/>
              <w:rPr>
                <w:rFonts w:ascii="Abadi" w:hAnsi="Abadi"/>
                <w:sz w:val="24"/>
                <w:szCs w:val="24"/>
                <w:lang w:val="en-US"/>
              </w:rPr>
            </w:pPr>
            <w:r>
              <w:rPr>
                <w:rFonts w:ascii="Segoe UI Symbol" w:eastAsia="Calibri" w:hAnsi="Segoe UI Symbol" w:cs="Segoe UI Symbol"/>
                <w:b/>
                <w:bCs/>
                <w:color w:val="CC0000"/>
                <w:sz w:val="24"/>
                <w:szCs w:val="24"/>
                <w:lang w:val="en-US"/>
              </w:rPr>
              <w:t>⚠</w:t>
            </w:r>
            <w:r>
              <w:rPr>
                <w:rFonts w:ascii="Abadi" w:eastAsia="Calibri" w:hAnsi="Abadi" w:cs="Calibri"/>
                <w:b/>
                <w:bCs/>
                <w:color w:val="CC0000"/>
                <w:sz w:val="24"/>
                <w:szCs w:val="24"/>
                <w:lang w:val="en-US"/>
              </w:rPr>
              <w:t xml:space="preserve"> </w:t>
            </w:r>
            <w:r>
              <w:rPr>
                <w:rFonts w:ascii="Abadi" w:eastAsia="Calibri" w:hAnsi="Abadi" w:cs="Calibri"/>
                <w:b/>
                <w:bCs/>
                <w:color w:val="1A1A1A"/>
                <w:sz w:val="24"/>
                <w:szCs w:val="24"/>
                <w:lang w:val="en-US"/>
              </w:rPr>
              <w:t>CRITICAL ASSESSMENT — ANALYSIS: OIL SECTOR</w:t>
            </w:r>
          </w:p>
        </w:tc>
      </w:tr>
      <w:tr w:rsidR="00DF147D" w:rsidRPr="00FF37C1" w14:paraId="6DA25897" w14:textId="77777777" w:rsidTr="0018255F">
        <w:tblPrEx>
          <w:tblCellMar>
            <w:top w:w="0" w:type="dxa"/>
            <w:bottom w:w="0" w:type="dxa"/>
          </w:tblCellMar>
        </w:tblPrEx>
        <w:tc>
          <w:tcPr>
            <w:tcW w:w="10170" w:type="dxa"/>
            <w:tcBorders>
              <w:top w:val="none" w:sz="0" w:space="0" w:color="FFFFFF"/>
              <w:left w:val="none" w:sz="0" w:space="0" w:color="FFFFFF"/>
              <w:bottom w:val="none" w:sz="0" w:space="0" w:color="FFFFFF"/>
              <w:right w:val="none" w:sz="0" w:space="0" w:color="FFFFFF"/>
            </w:tcBorders>
            <w:shd w:val="clear" w:color="auto" w:fill="F5F5F5"/>
            <w:tcMar>
              <w:top w:w="40" w:type="dxa"/>
              <w:left w:w="200" w:type="dxa"/>
              <w:bottom w:w="40" w:type="dxa"/>
              <w:right w:w="160" w:type="dxa"/>
            </w:tcMar>
          </w:tcPr>
          <w:p w14:paraId="02A5E2F6" w14:textId="3100B556" w:rsidR="0018255F" w:rsidRPr="0018255F" w:rsidRDefault="0018255F" w:rsidP="0018255F">
            <w:pPr>
              <w:pStyle w:val="Prrafodelista"/>
              <w:ind w:left="720" w:right="-90"/>
              <w:jc w:val="both"/>
              <w:rPr>
                <w:rFonts w:ascii="Abadi" w:eastAsia="Calibri" w:hAnsi="Abadi" w:cs="Calibri"/>
                <w:color w:val="1A1A1A"/>
                <w:sz w:val="24"/>
                <w:szCs w:val="24"/>
                <w:lang w:val="en-US"/>
              </w:rPr>
            </w:pPr>
          </w:p>
          <w:p w14:paraId="5E3D3836" w14:textId="4D18EB83" w:rsidR="00DF147D" w:rsidRPr="0018255F" w:rsidRDefault="00000000" w:rsidP="0018255F">
            <w:pPr>
              <w:pStyle w:val="Prrafodelista"/>
              <w:numPr>
                <w:ilvl w:val="0"/>
                <w:numId w:val="3"/>
              </w:numPr>
              <w:ind w:right="-90"/>
              <w:jc w:val="both"/>
              <w:rPr>
                <w:rFonts w:ascii="Abadi" w:hAnsi="Abadi"/>
                <w:sz w:val="24"/>
                <w:szCs w:val="24"/>
                <w:lang w:val="en-US"/>
              </w:rPr>
            </w:pPr>
            <w:r>
              <w:rPr>
                <w:rFonts w:ascii="Abadi" w:eastAsia="Calibri" w:hAnsi="Abadi" w:cs="Calibri"/>
                <w:color w:val="1A1A1A"/>
                <w:sz w:val="24"/>
                <w:szCs w:val="24"/>
                <w:lang w:val="en-US"/>
              </w:rPr>
              <w:t>The recovery is real and documented, but remains highly dependent on Chevron under OFAC license. A reversal of U.S. foreign policy could reduce production by 25-30% within 6-12 months.</w:t>
            </w:r>
          </w:p>
        </w:tc>
      </w:tr>
      <w:tr w:rsidR="00DF147D" w:rsidRPr="00FF37C1" w14:paraId="555628A6" w14:textId="77777777" w:rsidTr="0018255F">
        <w:tblPrEx>
          <w:tblCellMar>
            <w:top w:w="0" w:type="dxa"/>
            <w:bottom w:w="0" w:type="dxa"/>
          </w:tblCellMar>
        </w:tblPrEx>
        <w:tc>
          <w:tcPr>
            <w:tcW w:w="10170" w:type="dxa"/>
            <w:tcBorders>
              <w:top w:val="none" w:sz="0" w:space="0" w:color="FFFFFF"/>
              <w:left w:val="none" w:sz="0" w:space="0" w:color="FFFFFF"/>
              <w:bottom w:val="none" w:sz="0" w:space="0" w:color="FFFFFF"/>
              <w:right w:val="none" w:sz="0" w:space="0" w:color="FFFFFF"/>
            </w:tcBorders>
            <w:shd w:val="clear" w:color="auto" w:fill="F5F5F5"/>
            <w:tcMar>
              <w:top w:w="40" w:type="dxa"/>
              <w:left w:w="200" w:type="dxa"/>
              <w:bottom w:w="40" w:type="dxa"/>
              <w:right w:w="160" w:type="dxa"/>
            </w:tcMar>
          </w:tcPr>
          <w:p w14:paraId="082D850E" w14:textId="6730A6A3" w:rsidR="00DF147D" w:rsidRPr="0018255F" w:rsidRDefault="00000000" w:rsidP="0018255F">
            <w:pPr>
              <w:pStyle w:val="Prrafodelista"/>
              <w:numPr>
                <w:ilvl w:val="0"/>
                <w:numId w:val="3"/>
              </w:numPr>
              <w:ind w:right="-90"/>
              <w:jc w:val="both"/>
              <w:rPr>
                <w:rFonts w:ascii="Abadi" w:hAnsi="Abadi"/>
                <w:sz w:val="24"/>
                <w:szCs w:val="24"/>
                <w:lang w:val="en-US"/>
              </w:rPr>
            </w:pPr>
            <w:r>
              <w:rPr>
                <w:rFonts w:ascii="Abadi" w:eastAsia="Calibri" w:hAnsi="Abadi" w:cs="Calibri"/>
                <w:color w:val="1A1A1A"/>
                <w:sz w:val="24"/>
                <w:szCs w:val="24"/>
                <w:lang w:val="en-US"/>
              </w:rPr>
              <w:t xml:space="preserve">Production figures reported by the Venezuelan government frequently exceed those verified by OPEC and independent sources. Analysis should be based on OPEC data and tanker tracking (Kpler, Vortexa).</w:t>
            </w:r>
          </w:p>
        </w:tc>
      </w:tr>
      <w:tr w:rsidR="00DF147D" w:rsidRPr="00FF37C1" w14:paraId="096A4AC2" w14:textId="77777777" w:rsidTr="0018255F">
        <w:tblPrEx>
          <w:tblCellMar>
            <w:top w:w="0" w:type="dxa"/>
            <w:bottom w:w="0" w:type="dxa"/>
          </w:tblCellMar>
        </w:tblPrEx>
        <w:tc>
          <w:tcPr>
            <w:tcW w:w="10170" w:type="dxa"/>
            <w:tcBorders>
              <w:top w:val="none" w:sz="0" w:space="0" w:color="FFFFFF"/>
              <w:left w:val="none" w:sz="0" w:space="0" w:color="FFFFFF"/>
              <w:bottom w:val="none" w:sz="0" w:space="0" w:color="FFFFFF"/>
              <w:right w:val="none" w:sz="0" w:space="0" w:color="FFFFFF"/>
            </w:tcBorders>
            <w:shd w:val="clear" w:color="auto" w:fill="F5F5F5"/>
            <w:tcMar>
              <w:top w:w="40" w:type="dxa"/>
              <w:left w:w="200" w:type="dxa"/>
              <w:bottom w:w="40" w:type="dxa"/>
              <w:right w:w="160" w:type="dxa"/>
            </w:tcMar>
          </w:tcPr>
          <w:p w14:paraId="65625BD8" w14:textId="4F2DEED8" w:rsidR="00DF147D" w:rsidRPr="0018255F" w:rsidRDefault="00000000" w:rsidP="0018255F">
            <w:pPr>
              <w:pStyle w:val="Prrafodelista"/>
              <w:numPr>
                <w:ilvl w:val="0"/>
                <w:numId w:val="3"/>
              </w:numPr>
              <w:ind w:right="-90"/>
              <w:jc w:val="both"/>
              <w:rPr>
                <w:rFonts w:ascii="Abadi" w:hAnsi="Abadi"/>
                <w:sz w:val="24"/>
                <w:szCs w:val="24"/>
                <w:lang w:val="en-US"/>
              </w:rPr>
            </w:pPr>
            <w:r>
              <w:rPr>
                <w:rFonts w:ascii="Abadi" w:eastAsia="Calibri" w:hAnsi="Abadi" w:cs="Calibri"/>
                <w:color w:val="1A1A1A"/>
                <w:sz w:val="24"/>
                <w:szCs w:val="24"/>
                <w:lang w:val="en-US"/>
              </w:rPr>
              <w:t>Domestic refining capacity remains severely deteriorated. El Palito (210,000 bpd installed capacity) operates at 30-40% of capacity, limiting the internal added value of produced crude.</w:t>
            </w:r>
          </w:p>
        </w:tc>
      </w:tr>
      <w:tr w:rsidR="00DF147D" w:rsidRPr="00FF37C1" w14:paraId="4083E3DF" w14:textId="77777777" w:rsidTr="0018255F">
        <w:tblPrEx>
          <w:tblCellMar>
            <w:top w:w="0" w:type="dxa"/>
            <w:bottom w:w="0" w:type="dxa"/>
          </w:tblCellMar>
        </w:tblPrEx>
        <w:tc>
          <w:tcPr>
            <w:tcW w:w="10170" w:type="dxa"/>
            <w:tcBorders>
              <w:top w:val="none" w:sz="0" w:space="0" w:color="FFFFFF"/>
              <w:left w:val="none" w:sz="0" w:space="0" w:color="FFFFFF"/>
              <w:bottom w:val="none" w:sz="0" w:space="0" w:color="FFFFFF"/>
              <w:right w:val="none" w:sz="0" w:space="0" w:color="FFFFFF"/>
            </w:tcBorders>
            <w:shd w:val="clear" w:color="auto" w:fill="F5F5F5"/>
            <w:tcMar>
              <w:top w:w="40" w:type="dxa"/>
              <w:left w:w="200" w:type="dxa"/>
              <w:bottom w:w="40" w:type="dxa"/>
              <w:right w:w="160" w:type="dxa"/>
            </w:tcMar>
          </w:tcPr>
          <w:p w14:paraId="7A172377" w14:textId="77777777" w:rsidR="00DF147D" w:rsidRPr="0018255F" w:rsidRDefault="00000000" w:rsidP="0018255F">
            <w:pPr>
              <w:pStyle w:val="Prrafodelista"/>
              <w:numPr>
                <w:ilvl w:val="0"/>
                <w:numId w:val="3"/>
              </w:numPr>
              <w:ind w:right="-90"/>
              <w:jc w:val="both"/>
              <w:rPr>
                <w:rFonts w:ascii="Abadi" w:hAnsi="Abadi"/>
                <w:sz w:val="24"/>
                <w:szCs w:val="24"/>
                <w:lang w:val="en-US"/>
              </w:rPr>
            </w:pPr>
            <w:r>
              <w:rPr>
                <w:rFonts w:ascii="Abadi" w:eastAsia="Calibri" w:hAnsi="Abadi" w:cs="Calibri"/>
                <w:color w:val="1A1A1A"/>
                <w:sz w:val="24"/>
                <w:szCs w:val="24"/>
                <w:lang w:val="en-US"/>
              </w:rPr>
              <w:t>PDVSA requires deep corporate and debt restructuring. Estimated liabilities exceed $60B, limiting the ability to attract direct risk capital without international guarantees.</w:t>
            </w:r>
          </w:p>
          <w:p w14:paraId="4DC2AD6C" w14:textId="58DDA460" w:rsidR="0018255F" w:rsidRPr="0018255F" w:rsidRDefault="0018255F" w:rsidP="0018255F">
            <w:pPr>
              <w:pStyle w:val="Prrafodelista"/>
              <w:ind w:left="720" w:right="-90"/>
              <w:jc w:val="both"/>
              <w:rPr>
                <w:rFonts w:ascii="Abadi" w:hAnsi="Abadi"/>
                <w:sz w:val="24"/>
                <w:szCs w:val="24"/>
                <w:lang w:val="en-US"/>
              </w:rPr>
            </w:pPr>
          </w:p>
        </w:tc>
      </w:tr>
    </w:tbl>
    <w:p w14:paraId="1EC9C179" w14:textId="77777777" w:rsidR="00DF147D" w:rsidRPr="00FF37C1" w:rsidRDefault="00DF147D" w:rsidP="00A7547F">
      <w:pPr>
        <w:ind w:right="-90"/>
        <w:jc w:val="both"/>
        <w:rPr>
          <w:rFonts w:ascii="Abadi" w:hAnsi="Abadi"/>
          <w:sz w:val="24"/>
          <w:szCs w:val="24"/>
          <w:lang w:val="en-US"/>
        </w:rPr>
      </w:pPr>
    </w:p>
    <w:tbl>
      <w:tblPr>
        <w:tblW w:w="10080" w:type="dxa"/>
        <w:tblBorders>
          <w:top w:val="none" w:sz="0" w:space="0" w:color="FFFFFF"/>
          <w:left w:val="none" w:sz="0" w:space="0" w:color="FFFFFF"/>
          <w:bottom w:val="single" w:sz="12" w:space="0" w:color="CC0000"/>
          <w:right w:val="none" w:sz="0" w:space="0" w:color="FFFFFF"/>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80"/>
      </w:tblGrid>
      <w:tr w:rsidR="00DF147D" w:rsidRPr="00FF37C1" w14:paraId="2A3002D7" w14:textId="77777777">
        <w:tblPrEx>
          <w:tblCellMar>
            <w:top w:w="0" w:type="dxa"/>
            <w:bottom w:w="0" w:type="dxa"/>
          </w:tblCellMar>
        </w:tblPrEx>
        <w:tc>
          <w:tcPr>
            <w:tcW w:w="10080" w:type="dxa"/>
            <w:tcBorders>
              <w:top w:val="none" w:sz="0" w:space="0" w:color="FFFFFF"/>
              <w:left w:val="none" w:sz="0" w:space="0" w:color="FFFFFF"/>
              <w:bottom w:val="none" w:sz="0" w:space="0" w:color="FFFFFF"/>
              <w:right w:val="none" w:sz="0" w:space="0" w:color="FFFFFF"/>
            </w:tcBorders>
            <w:shd w:val="clear" w:color="auto" w:fill="111E35"/>
            <w:tcMar>
              <w:top w:w="100" w:type="dxa"/>
              <w:left w:w="200" w:type="dxa"/>
              <w:bottom w:w="100" w:type="dxa"/>
              <w:right w:w="200" w:type="dxa"/>
            </w:tcMar>
          </w:tcPr>
          <w:p w14:paraId="3D10022B" w14:textId="77777777" w:rsidR="00DF147D" w:rsidRPr="00FF37C1" w:rsidRDefault="00000000" w:rsidP="00A7547F">
            <w:pPr>
              <w:ind w:right="-90"/>
              <w:jc w:val="both"/>
              <w:rPr>
                <w:rFonts w:ascii="Abadi" w:hAnsi="Abadi"/>
                <w:sz w:val="24"/>
                <w:szCs w:val="24"/>
                <w:lang w:val="en-US"/>
              </w:rPr>
            </w:pPr>
            <w:r>
              <w:rPr>
                <w:rFonts w:ascii="Abadi" w:eastAsia="Calibri" w:hAnsi="Abadi" w:cs="Calibri"/>
                <w:b/>
                <w:bCs/>
                <w:color w:val="FFFFFF"/>
                <w:sz w:val="24"/>
                <w:szCs w:val="24"/>
                <w:lang w:val="en-US"/>
              </w:rPr>
              <w:t>4.  NATURAL GAS SECTOR: THE DORMANT POTENTIAL</w:t>
            </w:r>
          </w:p>
        </w:tc>
      </w:tr>
    </w:tbl>
    <w:p w14:paraId="1782E98E" w14:textId="77777777" w:rsidR="0018255F" w:rsidRDefault="0018255F" w:rsidP="00A7547F">
      <w:pPr>
        <w:pBdr>
          <w:bottom w:val="single" w:sz="6" w:space="0" w:color="CC0000"/>
        </w:pBdr>
        <w:ind w:right="-90"/>
        <w:jc w:val="both"/>
        <w:rPr>
          <w:rFonts w:ascii="Abadi" w:eastAsia="Calibri" w:hAnsi="Abadi" w:cs="Calibri"/>
          <w:b/>
          <w:bCs/>
          <w:color w:val="1A1A1A"/>
          <w:sz w:val="24"/>
          <w:szCs w:val="24"/>
          <w:lang w:val="en-US"/>
        </w:rPr>
      </w:pPr>
    </w:p>
    <w:p w14:paraId="0EE9B612" w14:textId="64B89041" w:rsidR="00DF147D" w:rsidRPr="00FF37C1" w:rsidRDefault="00000000" w:rsidP="00A7547F">
      <w:pPr>
        <w:pBdr>
          <w:bottom w:val="single" w:sz="6" w:space="0" w:color="CC0000"/>
        </w:pBdr>
        <w:ind w:right="-90"/>
        <w:jc w:val="both"/>
        <w:rPr>
          <w:rFonts w:ascii="Abadi" w:hAnsi="Abadi"/>
          <w:sz w:val="24"/>
          <w:szCs w:val="24"/>
          <w:lang w:val="en-US"/>
        </w:rPr>
      </w:pPr>
      <w:r>
        <w:rPr>
          <w:rFonts w:ascii="Abadi" w:eastAsia="Calibri" w:hAnsi="Abadi" w:cs="Calibri"/>
          <w:b/>
          <w:bCs/>
          <w:color w:val="1A1A1A"/>
          <w:sz w:val="24"/>
          <w:szCs w:val="24"/>
          <w:lang w:val="en-US"/>
        </w:rPr>
        <w:t>4.1  Reserves and Global Position</w:t>
      </w:r>
    </w:p>
    <w:p w14:paraId="73BC7FE3" w14:textId="77777777" w:rsidR="0018255F" w:rsidRDefault="0018255F" w:rsidP="00A7547F">
      <w:pPr>
        <w:ind w:right="-90" w:firstLine="720"/>
        <w:jc w:val="both"/>
        <w:rPr>
          <w:rFonts w:ascii="Abadi" w:eastAsia="Calibri" w:hAnsi="Abadi" w:cs="Calibri"/>
          <w:color w:val="1A1A1A"/>
          <w:sz w:val="24"/>
          <w:szCs w:val="24"/>
          <w:lang w:val="en-US"/>
        </w:rPr>
      </w:pPr>
    </w:p>
    <w:p w14:paraId="36FA7A5A" w14:textId="14469B32" w:rsidR="00DF147D" w:rsidRDefault="00000000" w:rsidP="00A7547F">
      <w:pPr>
        <w:ind w:right="-90" w:firstLine="720"/>
        <w:jc w:val="both"/>
        <w:rPr>
          <w:rFonts w:ascii="Abadi" w:eastAsia="Calibri" w:hAnsi="Abadi" w:cs="Calibri"/>
          <w:color w:val="1A1A1A"/>
          <w:sz w:val="24"/>
          <w:szCs w:val="24"/>
          <w:lang w:val="en-US"/>
        </w:rPr>
      </w:pPr>
      <w:r>
        <w:rPr>
          <w:rFonts w:ascii="Abadi" w:eastAsia="Calibri" w:hAnsi="Abadi" w:cs="Calibri"/>
          <w:color w:val="1A1A1A"/>
          <w:sz w:val="24"/>
          <w:szCs w:val="24"/>
          <w:lang w:val="en-US"/>
        </w:rPr>
        <w:t>Venezuela holds the eighth-largest proven natural gas reserves globally, with approximately 195 trillion cubic feet (Tcf), according to OPEC. However, unlike oil, Venezuela's gas sector remains largely underdeveloped, with most of the gas produced being oil-associated gas that is reinjected or — in the worst case — flared, generating significant economic and environmental losses.</w:t>
      </w:r>
    </w:p>
    <w:p w14:paraId="3F6A7EBC" w14:textId="77777777" w:rsidR="0018255F" w:rsidRPr="00FF37C1" w:rsidRDefault="0018255F" w:rsidP="00A7547F">
      <w:pPr>
        <w:ind w:right="-90" w:firstLine="720"/>
        <w:jc w:val="both"/>
        <w:rPr>
          <w:rFonts w:ascii="Abadi" w:hAnsi="Abadi"/>
          <w:sz w:val="24"/>
          <w:szCs w:val="24"/>
          <w:lang w:val="en-US"/>
        </w:rPr>
      </w:pPr>
    </w:p>
    <w:tbl>
      <w:tblPr>
        <w:tblW w:w="10080" w:type="dxa"/>
        <w:tblBorders>
          <w:top w:val="single" w:sz="4" w:space="0" w:color="999999"/>
          <w:left w:val="single" w:sz="4" w:space="0" w:color="999999"/>
          <w:bottom w:val="single" w:sz="4" w:space="0" w:color="999999"/>
          <w:right w:val="single" w:sz="4" w:space="0" w:color="999999"/>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20"/>
        <w:gridCol w:w="1680"/>
        <w:gridCol w:w="2016"/>
        <w:gridCol w:w="2016"/>
        <w:gridCol w:w="1848"/>
      </w:tblGrid>
      <w:tr w:rsidR="00DF147D" w:rsidRPr="0018255F" w14:paraId="4475A279" w14:textId="77777777" w:rsidTr="0018255F">
        <w:tblPrEx>
          <w:tblCellMar>
            <w:top w:w="0" w:type="dxa"/>
            <w:bottom w:w="0" w:type="dxa"/>
          </w:tblCellMar>
        </w:tblPrEx>
        <w:tc>
          <w:tcPr>
            <w:tcW w:w="2520"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42348FCF" w14:textId="77777777" w:rsidR="00DF147D" w:rsidRPr="0018255F" w:rsidRDefault="00000000" w:rsidP="0018255F">
            <w:pPr>
              <w:ind w:right="-90"/>
              <w:jc w:val="center"/>
              <w:rPr>
                <w:rFonts w:ascii="Abadi" w:hAnsi="Abadi"/>
                <w:sz w:val="22"/>
                <w:szCs w:val="22"/>
                <w:lang w:val="en-US"/>
              </w:rPr>
            </w:pPr>
            <w:r>
              <w:rPr>
                <w:rFonts w:ascii="Abadi" w:eastAsia="Calibri" w:hAnsi="Abadi" w:cs="Calibri"/>
                <w:b/>
                <w:bCs/>
                <w:color w:val="FFFFFF"/>
                <w:sz w:val="22"/>
                <w:szCs w:val="22"/>
                <w:lang w:val="en-US"/>
              </w:rPr>
              <w:t>Field / Project</w:t>
            </w:r>
          </w:p>
        </w:tc>
        <w:tc>
          <w:tcPr>
            <w:tcW w:w="1680"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757DCC1E" w14:textId="77777777" w:rsidR="00DF147D" w:rsidRPr="0018255F" w:rsidRDefault="00000000" w:rsidP="0018255F">
            <w:pPr>
              <w:ind w:right="-90"/>
              <w:jc w:val="center"/>
              <w:rPr>
                <w:rFonts w:ascii="Abadi" w:hAnsi="Abadi"/>
                <w:sz w:val="22"/>
                <w:szCs w:val="22"/>
                <w:lang w:val="en-US"/>
              </w:rPr>
            </w:pPr>
            <w:r>
              <w:rPr>
                <w:rFonts w:ascii="Abadi" w:eastAsia="Calibri" w:hAnsi="Abadi" w:cs="Calibri"/>
                <w:b/>
                <w:bCs/>
                <w:color w:val="FFFFFF"/>
                <w:sz w:val="22"/>
                <w:szCs w:val="22"/>
                <w:lang w:val="en-US"/>
              </w:rPr>
              <w:t>Type</w:t>
            </w:r>
          </w:p>
        </w:tc>
        <w:tc>
          <w:tcPr>
            <w:tcW w:w="2016"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760C8585" w14:textId="77777777" w:rsidR="00DF147D" w:rsidRPr="0018255F" w:rsidRDefault="00000000" w:rsidP="0018255F">
            <w:pPr>
              <w:ind w:right="-90"/>
              <w:jc w:val="center"/>
              <w:rPr>
                <w:rFonts w:ascii="Abadi" w:hAnsi="Abadi"/>
                <w:sz w:val="22"/>
                <w:szCs w:val="22"/>
                <w:lang w:val="en-US"/>
              </w:rPr>
            </w:pPr>
            <w:r>
              <w:rPr>
                <w:rFonts w:ascii="Abadi" w:eastAsia="Calibri" w:hAnsi="Abadi" w:cs="Calibri"/>
                <w:b/>
                <w:bCs/>
                <w:color w:val="FFFFFF"/>
                <w:sz w:val="22"/>
                <w:szCs w:val="22"/>
                <w:lang w:val="en-US"/>
              </w:rPr>
              <w:t>Status (2026)</w:t>
            </w:r>
          </w:p>
        </w:tc>
        <w:tc>
          <w:tcPr>
            <w:tcW w:w="2016"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596B2B70" w14:textId="77777777" w:rsidR="00DF147D" w:rsidRPr="0018255F" w:rsidRDefault="00000000" w:rsidP="0018255F">
            <w:pPr>
              <w:ind w:right="-90"/>
              <w:jc w:val="center"/>
              <w:rPr>
                <w:rFonts w:ascii="Abadi" w:hAnsi="Abadi"/>
                <w:sz w:val="22"/>
                <w:szCs w:val="22"/>
                <w:lang w:val="en-US"/>
              </w:rPr>
            </w:pPr>
            <w:r>
              <w:rPr>
                <w:rFonts w:ascii="Abadi" w:eastAsia="Calibri" w:hAnsi="Abadi" w:cs="Calibri"/>
                <w:b/>
                <w:bCs/>
                <w:color w:val="FFFFFF"/>
                <w:sz w:val="22"/>
                <w:szCs w:val="22"/>
                <w:lang w:val="en-US"/>
              </w:rPr>
              <w:t>Potential Capacity</w:t>
            </w:r>
          </w:p>
        </w:tc>
        <w:tc>
          <w:tcPr>
            <w:tcW w:w="1848"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7F6E45B8" w14:textId="77777777" w:rsidR="00DF147D" w:rsidRPr="0018255F" w:rsidRDefault="00000000" w:rsidP="0018255F">
            <w:pPr>
              <w:ind w:right="-90"/>
              <w:jc w:val="center"/>
              <w:rPr>
                <w:rFonts w:ascii="Abadi" w:hAnsi="Abadi"/>
                <w:sz w:val="22"/>
                <w:szCs w:val="22"/>
                <w:lang w:val="en-US"/>
              </w:rPr>
            </w:pPr>
            <w:r>
              <w:rPr>
                <w:rFonts w:ascii="Abadi" w:eastAsia="Calibri" w:hAnsi="Abadi" w:cs="Calibri"/>
                <w:b/>
                <w:bCs/>
                <w:color w:val="FFFFFF"/>
                <w:sz w:val="22"/>
                <w:szCs w:val="22"/>
                <w:lang w:val="en-US"/>
              </w:rPr>
              <w:t>Partner</w:t>
            </w:r>
          </w:p>
        </w:tc>
      </w:tr>
      <w:tr w:rsidR="00DF147D" w:rsidRPr="0018255F" w14:paraId="398CF036" w14:textId="77777777" w:rsidTr="0018255F">
        <w:tblPrEx>
          <w:tblCellMar>
            <w:top w:w="0" w:type="dxa"/>
            <w:bottom w:w="0" w:type="dxa"/>
          </w:tblCellMar>
        </w:tblPrEx>
        <w:tc>
          <w:tcPr>
            <w:tcW w:w="252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6FE6D4E5"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Dragon (Continental Shelf)</w:t>
            </w:r>
          </w:p>
        </w:tc>
        <w:tc>
          <w:tcPr>
            <w:tcW w:w="16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05824656"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Gas offshore</w:t>
            </w:r>
          </w:p>
        </w:tc>
        <w:tc>
          <w:tcPr>
            <w:tcW w:w="2016"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71D10F81"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Advanced development</w:t>
            </w:r>
          </w:p>
        </w:tc>
        <w:tc>
          <w:tcPr>
            <w:tcW w:w="2016"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7C4CC5E4"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 xml:space="preserve">~200 MMscfd</w:t>
            </w:r>
          </w:p>
        </w:tc>
        <w:tc>
          <w:tcPr>
            <w:tcW w:w="1848"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2850A9C0"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Shell / Trinidad</w:t>
            </w:r>
          </w:p>
        </w:tc>
      </w:tr>
      <w:tr w:rsidR="00DF147D" w:rsidRPr="0018255F" w14:paraId="5206512E" w14:textId="77777777" w:rsidTr="0018255F">
        <w:tblPrEx>
          <w:tblCellMar>
            <w:top w:w="0" w:type="dxa"/>
            <w:bottom w:w="0" w:type="dxa"/>
          </w:tblCellMar>
        </w:tblPrEx>
        <w:tc>
          <w:tcPr>
            <w:tcW w:w="252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6EE809B4"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Mariscal Sucre</w:t>
            </w:r>
          </w:p>
        </w:tc>
        <w:tc>
          <w:tcPr>
            <w:tcW w:w="16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56C9202C"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Gas offshore</w:t>
            </w:r>
          </w:p>
        </w:tc>
        <w:tc>
          <w:tcPr>
            <w:tcW w:w="2016"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7CE41378"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Active negotiations</w:t>
            </w:r>
          </w:p>
        </w:tc>
        <w:tc>
          <w:tcPr>
            <w:tcW w:w="2016"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54CBDA7A"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 xml:space="preserve">~700 MMscfd</w:t>
            </w:r>
          </w:p>
        </w:tc>
        <w:tc>
          <w:tcPr>
            <w:tcW w:w="1848"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2B896C23"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Shell / BP</w:t>
            </w:r>
          </w:p>
        </w:tc>
      </w:tr>
      <w:tr w:rsidR="00DF147D" w:rsidRPr="0018255F" w14:paraId="4644E32A" w14:textId="77777777" w:rsidTr="0018255F">
        <w:tblPrEx>
          <w:tblCellMar>
            <w:top w:w="0" w:type="dxa"/>
            <w:bottom w:w="0" w:type="dxa"/>
          </w:tblCellMar>
        </w:tblPrEx>
        <w:tc>
          <w:tcPr>
            <w:tcW w:w="252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57654314"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lastRenderedPageBreak/>
              <w:t>Rafael Urdaneta</w:t>
            </w:r>
          </w:p>
        </w:tc>
        <w:tc>
          <w:tcPr>
            <w:tcW w:w="16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62CB2949"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Gas offshore</w:t>
            </w:r>
          </w:p>
        </w:tc>
        <w:tc>
          <w:tcPr>
            <w:tcW w:w="2016"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26FBB940"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Feasibility study</w:t>
            </w:r>
          </w:p>
        </w:tc>
        <w:tc>
          <w:tcPr>
            <w:tcW w:w="2016"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21FE9D06"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Undefined</w:t>
            </w:r>
          </w:p>
        </w:tc>
        <w:tc>
          <w:tcPr>
            <w:tcW w:w="1848"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3FDAC1AD"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ENI / PDVSA</w:t>
            </w:r>
          </w:p>
        </w:tc>
      </w:tr>
      <w:tr w:rsidR="00DF147D" w:rsidRPr="0018255F" w14:paraId="2E6B035A" w14:textId="77777777" w:rsidTr="0018255F">
        <w:tblPrEx>
          <w:tblCellMar>
            <w:top w:w="0" w:type="dxa"/>
            <w:bottom w:w="0" w:type="dxa"/>
          </w:tblCellMar>
        </w:tblPrEx>
        <w:tc>
          <w:tcPr>
            <w:tcW w:w="252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5BCB8983"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Orinoco Associated Gas</w:t>
            </w:r>
          </w:p>
        </w:tc>
        <w:tc>
          <w:tcPr>
            <w:tcW w:w="16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2A675CD4"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Associated gas</w:t>
            </w:r>
          </w:p>
        </w:tc>
        <w:tc>
          <w:tcPr>
            <w:tcW w:w="2016"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5A60FC9E"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Partial recovery</w:t>
            </w:r>
          </w:p>
        </w:tc>
        <w:tc>
          <w:tcPr>
            <w:tcW w:w="2016"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55C81DCD"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Variable</w:t>
            </w:r>
          </w:p>
        </w:tc>
        <w:tc>
          <w:tcPr>
            <w:tcW w:w="1848"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792C2A98"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Chevron / PDVSA</w:t>
            </w:r>
          </w:p>
        </w:tc>
      </w:tr>
    </w:tbl>
    <w:p w14:paraId="5A6C7088" w14:textId="77777777" w:rsidR="00DF147D" w:rsidRPr="00FF37C1" w:rsidRDefault="00DF147D" w:rsidP="00A7547F">
      <w:pPr>
        <w:ind w:right="-90"/>
        <w:jc w:val="both"/>
        <w:rPr>
          <w:rFonts w:ascii="Abadi" w:hAnsi="Abadi"/>
          <w:sz w:val="24"/>
          <w:szCs w:val="24"/>
        </w:rPr>
      </w:pPr>
    </w:p>
    <w:p w14:paraId="3F4B5A00" w14:textId="77777777" w:rsidR="00AA2B3C" w:rsidRDefault="00AA2B3C" w:rsidP="00A7547F">
      <w:pPr>
        <w:pBdr>
          <w:bottom w:val="single" w:sz="6" w:space="0" w:color="CC0000"/>
        </w:pBdr>
        <w:ind w:right="-90"/>
        <w:jc w:val="both"/>
        <w:rPr>
          <w:rFonts w:ascii="Abadi" w:eastAsia="Calibri" w:hAnsi="Abadi" w:cs="Calibri"/>
          <w:b/>
          <w:bCs/>
          <w:color w:val="1A1A1A"/>
          <w:sz w:val="24"/>
          <w:szCs w:val="24"/>
          <w:lang w:val="en-US"/>
        </w:rPr>
      </w:pPr>
    </w:p>
    <w:p w14:paraId="0D25ED46" w14:textId="4A2D1A00" w:rsidR="00DF147D" w:rsidRPr="00FF37C1" w:rsidRDefault="00000000" w:rsidP="00A7547F">
      <w:pPr>
        <w:pBdr>
          <w:bottom w:val="single" w:sz="6" w:space="0" w:color="CC0000"/>
        </w:pBdr>
        <w:ind w:right="-90"/>
        <w:jc w:val="both"/>
        <w:rPr>
          <w:rFonts w:ascii="Abadi" w:hAnsi="Abadi"/>
          <w:sz w:val="24"/>
          <w:szCs w:val="24"/>
          <w:lang w:val="en-US"/>
        </w:rPr>
      </w:pPr>
      <w:r>
        <w:rPr>
          <w:rFonts w:ascii="Abadi" w:eastAsia="Calibri" w:hAnsi="Abadi" w:cs="Calibri"/>
          <w:b/>
          <w:bCs/>
          <w:color w:val="1A1A1A"/>
          <w:sz w:val="24"/>
          <w:szCs w:val="24"/>
          <w:lang w:val="en-US"/>
        </w:rPr>
        <w:t>4.2  Dragon Project and the Trinidad-Venezuela Corridor</w:t>
      </w:r>
    </w:p>
    <w:p w14:paraId="0F1C426D" w14:textId="77777777" w:rsidR="00AA2B3C" w:rsidRDefault="00AA2B3C" w:rsidP="00A7547F">
      <w:pPr>
        <w:ind w:right="-90" w:firstLine="720"/>
        <w:jc w:val="both"/>
        <w:rPr>
          <w:rFonts w:ascii="Abadi" w:eastAsia="Calibri" w:hAnsi="Abadi" w:cs="Calibri"/>
          <w:color w:val="1A1A1A"/>
          <w:sz w:val="24"/>
          <w:szCs w:val="24"/>
          <w:lang w:val="en-US"/>
        </w:rPr>
      </w:pPr>
    </w:p>
    <w:p w14:paraId="030C3E12" w14:textId="77D05A11" w:rsidR="00DF147D" w:rsidRDefault="00000000" w:rsidP="00A7547F">
      <w:pPr>
        <w:ind w:right="-90" w:firstLine="720"/>
        <w:jc w:val="both"/>
        <w:rPr>
          <w:rFonts w:ascii="Abadi" w:eastAsia="Calibri" w:hAnsi="Abadi" w:cs="Calibri"/>
          <w:color w:val="1A1A1A"/>
          <w:sz w:val="24"/>
          <w:szCs w:val="24"/>
          <w:lang w:val="en-US"/>
        </w:rPr>
      </w:pPr>
      <w:r>
        <w:rPr>
          <w:rFonts w:ascii="Abadi" w:eastAsia="Calibri" w:hAnsi="Abadi" w:cs="Calibri"/>
          <w:color w:val="1A1A1A"/>
          <w:sz w:val="24"/>
          <w:szCs w:val="24"/>
          <w:lang w:val="en-US"/>
        </w:rPr>
        <w:t>The Dragon Project, a gas field located on the Venezuelan-Trinidadian continental shelf, represents the most advanced Venezuelan gas export initiative. In July 2025, Venezuela announced it was ready to export the "first gas molecule" under this scheme, with an export target for 2027 through a submarine pipeline to the liquefaction facilities of Gas de Trinidad y Tobago (Atlantic LNG).</w:t>
      </w:r>
    </w:p>
    <w:p w14:paraId="0BC82738" w14:textId="77777777" w:rsidR="0018255F" w:rsidRPr="00FF37C1" w:rsidRDefault="0018255F" w:rsidP="00A7547F">
      <w:pPr>
        <w:ind w:right="-90" w:firstLine="720"/>
        <w:jc w:val="both"/>
        <w:rPr>
          <w:rFonts w:ascii="Abadi" w:hAnsi="Abadi"/>
          <w:sz w:val="24"/>
          <w:szCs w:val="24"/>
          <w:lang w:val="en-US"/>
        </w:rPr>
      </w:pPr>
    </w:p>
    <w:p w14:paraId="07B5EF64" w14:textId="77777777" w:rsidR="00DF147D" w:rsidRDefault="00000000" w:rsidP="00A7547F">
      <w:pPr>
        <w:ind w:right="-90" w:firstLine="720"/>
        <w:jc w:val="both"/>
        <w:rPr>
          <w:rFonts w:ascii="Abadi" w:eastAsia="Calibri" w:hAnsi="Abadi" w:cs="Calibri"/>
          <w:color w:val="1A1A1A"/>
          <w:sz w:val="24"/>
          <w:szCs w:val="24"/>
          <w:lang w:val="en-US"/>
        </w:rPr>
      </w:pPr>
      <w:r>
        <w:rPr>
          <w:rFonts w:ascii="Abadi" w:eastAsia="Calibri" w:hAnsi="Abadi" w:cs="Calibri"/>
          <w:color w:val="1A1A1A"/>
          <w:sz w:val="24"/>
          <w:szCs w:val="24"/>
          <w:lang w:val="en-US"/>
        </w:rPr>
        <w:t xml:space="preserve">The U.S. Department of the Treasury (OFAC) granted a special license to Shell to resume development of the Dragon field in the context of the U.S.-Venezuela energy agreement, following a multi-year suspension due to sanctions. This agreement positions Venezuela as a potential exporter of LNG toward European markets in a post-Russia-Ukraine conflict context of high demand for alternative sources.</w:t>
      </w:r>
    </w:p>
    <w:p w14:paraId="3053EDEC" w14:textId="77777777" w:rsidR="0018255F" w:rsidRPr="00FF37C1" w:rsidRDefault="0018255F" w:rsidP="00A7547F">
      <w:pPr>
        <w:ind w:right="-90" w:firstLine="720"/>
        <w:jc w:val="both"/>
        <w:rPr>
          <w:rFonts w:ascii="Abadi" w:hAnsi="Abadi"/>
          <w:sz w:val="24"/>
          <w:szCs w:val="24"/>
          <w:lang w:val="en-US"/>
        </w:rPr>
      </w:pPr>
    </w:p>
    <w:tbl>
      <w:tblPr>
        <w:tblW w:w="10080" w:type="dxa"/>
        <w:tblBorders>
          <w:top w:val="single" w:sz="4" w:space="0" w:color="999999"/>
          <w:left w:val="single" w:sz="4" w:space="0" w:color="999999"/>
          <w:bottom w:val="single" w:sz="4" w:space="0" w:color="999999"/>
          <w:right w:val="single" w:sz="4" w:space="0" w:color="999999"/>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80"/>
      </w:tblGrid>
      <w:tr w:rsidR="00DF147D" w:rsidRPr="00FF37C1" w14:paraId="40468417" w14:textId="77777777">
        <w:tblPrEx>
          <w:tblCellMar>
            <w:top w:w="0" w:type="dxa"/>
            <w:bottom w:w="0" w:type="dxa"/>
          </w:tblCellMar>
        </w:tblPrEx>
        <w:tc>
          <w:tcPr>
            <w:tcW w:w="10080" w:type="dxa"/>
            <w:tcBorders>
              <w:top w:val="none" w:sz="0" w:space="0" w:color="FFFFFF"/>
              <w:left w:val="none" w:sz="0" w:space="0" w:color="FFFFFF"/>
              <w:bottom w:val="none" w:sz="0" w:space="0" w:color="FFFFFF"/>
              <w:right w:val="none" w:sz="0" w:space="0" w:color="FFFFFF"/>
            </w:tcBorders>
            <w:shd w:val="clear" w:color="auto" w:fill="E8E8E8"/>
            <w:tcMar>
              <w:top w:w="80" w:type="dxa"/>
              <w:left w:w="160" w:type="dxa"/>
              <w:bottom w:w="80" w:type="dxa"/>
              <w:right w:w="160" w:type="dxa"/>
            </w:tcMar>
          </w:tcPr>
          <w:p w14:paraId="69AD814E" w14:textId="77777777" w:rsidR="00DF147D" w:rsidRPr="00FF37C1" w:rsidRDefault="00000000" w:rsidP="00A7547F">
            <w:pPr>
              <w:ind w:right="-90"/>
              <w:jc w:val="both"/>
              <w:rPr>
                <w:rFonts w:ascii="Abadi" w:hAnsi="Abadi"/>
                <w:sz w:val="24"/>
                <w:szCs w:val="24"/>
                <w:lang w:val="en-US"/>
              </w:rPr>
            </w:pPr>
            <w:r>
              <w:rPr>
                <w:rFonts w:ascii="Segoe UI Symbol" w:eastAsia="Calibri" w:hAnsi="Segoe UI Symbol" w:cs="Segoe UI Symbol"/>
                <w:b/>
                <w:bCs/>
                <w:color w:val="CC0000"/>
                <w:sz w:val="24"/>
                <w:szCs w:val="24"/>
                <w:lang w:val="en-US"/>
              </w:rPr>
              <w:t>⚠</w:t>
            </w:r>
            <w:r>
              <w:rPr>
                <w:rFonts w:ascii="Abadi" w:eastAsia="Calibri" w:hAnsi="Abadi" w:cs="Calibri"/>
                <w:b/>
                <w:bCs/>
                <w:color w:val="CC0000"/>
                <w:sz w:val="24"/>
                <w:szCs w:val="24"/>
                <w:lang w:val="en-US"/>
              </w:rPr>
              <w:t xml:space="preserve"> </w:t>
            </w:r>
            <w:r>
              <w:rPr>
                <w:rFonts w:ascii="Abadi" w:eastAsia="Calibri" w:hAnsi="Abadi" w:cs="Calibri"/>
                <w:b/>
                <w:bCs/>
                <w:color w:val="1A1A1A"/>
                <w:sz w:val="24"/>
                <w:szCs w:val="24"/>
                <w:lang w:val="en-US"/>
              </w:rPr>
              <w:t xml:space="preserve">STRATEGIC OPPORTUNITY: VENEZUELAN GAS </w:t>
            </w:r>
            <w:r>
              <w:rPr>
                <w:rFonts w:ascii="Arial" w:eastAsia="Calibri" w:hAnsi="Arial" w:cs="Arial"/>
                <w:b/>
                <w:bCs/>
                <w:color w:val="1A1A1A"/>
                <w:sz w:val="24"/>
                <w:szCs w:val="24"/>
                <w:lang w:val="en-US"/>
              </w:rPr>
              <w:t>→</w:t>
            </w:r>
            <w:r>
              <w:rPr>
                <w:rFonts w:ascii="Abadi" w:eastAsia="Calibri" w:hAnsi="Abadi" w:cs="Calibri"/>
                <w:b/>
                <w:bCs/>
                <w:color w:val="1A1A1A"/>
                <w:sz w:val="24"/>
                <w:szCs w:val="24"/>
                <w:lang w:val="en-US"/>
              </w:rPr>
              <w:t xml:space="preserve"> EUROPA</w:t>
            </w:r>
          </w:p>
        </w:tc>
      </w:tr>
      <w:tr w:rsidR="00DF147D" w:rsidRPr="00FF37C1" w14:paraId="5B3C90D0" w14:textId="77777777">
        <w:tblPrEx>
          <w:tblCellMar>
            <w:top w:w="0" w:type="dxa"/>
            <w:bottom w:w="0" w:type="dxa"/>
          </w:tblCellMar>
        </w:tblPrEx>
        <w:tc>
          <w:tcPr>
            <w:tcW w:w="10080" w:type="dxa"/>
            <w:tcBorders>
              <w:top w:val="none" w:sz="0" w:space="0" w:color="FFFFFF"/>
              <w:left w:val="none" w:sz="0" w:space="0" w:color="FFFFFF"/>
              <w:bottom w:val="none" w:sz="0" w:space="0" w:color="FFFFFF"/>
              <w:right w:val="none" w:sz="0" w:space="0" w:color="FFFFFF"/>
            </w:tcBorders>
            <w:shd w:val="clear" w:color="auto" w:fill="F5F5F5"/>
            <w:tcMar>
              <w:top w:w="40" w:type="dxa"/>
              <w:left w:w="200" w:type="dxa"/>
              <w:bottom w:w="40" w:type="dxa"/>
              <w:right w:w="160" w:type="dxa"/>
            </w:tcMar>
          </w:tcPr>
          <w:p w14:paraId="5A6D7A16" w14:textId="3296E9A0" w:rsidR="0018255F" w:rsidRPr="0018255F" w:rsidRDefault="0018255F" w:rsidP="0018255F">
            <w:pPr>
              <w:pStyle w:val="Prrafodelista"/>
              <w:ind w:left="720" w:right="-90"/>
              <w:jc w:val="both"/>
              <w:rPr>
                <w:rFonts w:ascii="Abadi" w:eastAsia="Calibri" w:hAnsi="Abadi" w:cs="Calibri"/>
                <w:color w:val="1A1A1A"/>
                <w:sz w:val="24"/>
                <w:szCs w:val="24"/>
                <w:lang w:val="en-US"/>
              </w:rPr>
            </w:pPr>
          </w:p>
          <w:p w14:paraId="6C462D16" w14:textId="1EDB342E" w:rsidR="00DF147D" w:rsidRPr="0018255F" w:rsidRDefault="00000000" w:rsidP="0018255F">
            <w:pPr>
              <w:pStyle w:val="Prrafodelista"/>
              <w:numPr>
                <w:ilvl w:val="0"/>
                <w:numId w:val="4"/>
              </w:numPr>
              <w:ind w:right="-90"/>
              <w:jc w:val="both"/>
              <w:rPr>
                <w:rFonts w:ascii="Abadi" w:hAnsi="Abadi"/>
                <w:sz w:val="24"/>
                <w:szCs w:val="24"/>
                <w:lang w:val="en-US"/>
              </w:rPr>
            </w:pPr>
            <w:r>
              <w:rPr>
                <w:rFonts w:ascii="Abadi" w:eastAsia="Calibri" w:hAnsi="Abadi" w:cs="Calibri"/>
                <w:color w:val="1A1A1A"/>
                <w:sz w:val="24"/>
                <w:szCs w:val="24"/>
                <w:lang w:val="en-US"/>
              </w:rPr>
              <w:t xml:space="preserve">Combined potential capacity Dragón + Mariscal Sucre: ~900 MMscfd equivalent (~6.5 Mtpa LNG), sufficient to supply ~3-4% of European consumption.</w:t>
            </w:r>
          </w:p>
        </w:tc>
      </w:tr>
      <w:tr w:rsidR="00DF147D" w:rsidRPr="00FF37C1" w14:paraId="4DE888BE" w14:textId="77777777">
        <w:tblPrEx>
          <w:tblCellMar>
            <w:top w:w="0" w:type="dxa"/>
            <w:bottom w:w="0" w:type="dxa"/>
          </w:tblCellMar>
        </w:tblPrEx>
        <w:tc>
          <w:tcPr>
            <w:tcW w:w="10080" w:type="dxa"/>
            <w:tcBorders>
              <w:top w:val="none" w:sz="0" w:space="0" w:color="FFFFFF"/>
              <w:left w:val="none" w:sz="0" w:space="0" w:color="FFFFFF"/>
              <w:bottom w:val="none" w:sz="0" w:space="0" w:color="FFFFFF"/>
              <w:right w:val="none" w:sz="0" w:space="0" w:color="FFFFFF"/>
            </w:tcBorders>
            <w:shd w:val="clear" w:color="auto" w:fill="F5F5F5"/>
            <w:tcMar>
              <w:top w:w="40" w:type="dxa"/>
              <w:left w:w="200" w:type="dxa"/>
              <w:bottom w:w="40" w:type="dxa"/>
              <w:right w:w="160" w:type="dxa"/>
            </w:tcMar>
          </w:tcPr>
          <w:p w14:paraId="3D8C6417" w14:textId="09BACFA4" w:rsidR="00DF147D" w:rsidRPr="0018255F" w:rsidRDefault="00000000" w:rsidP="0018255F">
            <w:pPr>
              <w:pStyle w:val="Prrafodelista"/>
              <w:numPr>
                <w:ilvl w:val="0"/>
                <w:numId w:val="4"/>
              </w:numPr>
              <w:ind w:right="-90"/>
              <w:jc w:val="both"/>
              <w:rPr>
                <w:rFonts w:ascii="Abadi" w:hAnsi="Abadi"/>
                <w:sz w:val="24"/>
                <w:szCs w:val="24"/>
                <w:lang w:val="en-US"/>
              </w:rPr>
            </w:pPr>
            <w:r>
              <w:rPr>
                <w:rFonts w:ascii="Abadi" w:eastAsia="Calibri" w:hAnsi="Abadi" w:cs="Calibri"/>
                <w:color w:val="1A1A1A"/>
                <w:sz w:val="24"/>
                <w:szCs w:val="24"/>
                <w:lang w:val="en-US"/>
              </w:rPr>
              <w:t xml:space="preserve">Competitive advantage: liquefaction in Trinidad (existing installed capacity) without the need for new mega-investments in LNG plants.</w:t>
            </w:r>
          </w:p>
        </w:tc>
      </w:tr>
      <w:tr w:rsidR="00DF147D" w:rsidRPr="00FF37C1" w14:paraId="6AF5C65A" w14:textId="77777777">
        <w:tblPrEx>
          <w:tblCellMar>
            <w:top w:w="0" w:type="dxa"/>
            <w:bottom w:w="0" w:type="dxa"/>
          </w:tblCellMar>
        </w:tblPrEx>
        <w:tc>
          <w:tcPr>
            <w:tcW w:w="10080" w:type="dxa"/>
            <w:tcBorders>
              <w:top w:val="none" w:sz="0" w:space="0" w:color="FFFFFF"/>
              <w:left w:val="none" w:sz="0" w:space="0" w:color="FFFFFF"/>
              <w:bottom w:val="none" w:sz="0" w:space="0" w:color="FFFFFF"/>
              <w:right w:val="none" w:sz="0" w:space="0" w:color="FFFFFF"/>
            </w:tcBorders>
            <w:shd w:val="clear" w:color="auto" w:fill="F5F5F5"/>
            <w:tcMar>
              <w:top w:w="40" w:type="dxa"/>
              <w:left w:w="200" w:type="dxa"/>
              <w:bottom w:w="40" w:type="dxa"/>
              <w:right w:w="160" w:type="dxa"/>
            </w:tcMar>
          </w:tcPr>
          <w:p w14:paraId="6CD2B850" w14:textId="02C8188D" w:rsidR="00DF147D" w:rsidRPr="0018255F" w:rsidRDefault="00000000" w:rsidP="0018255F">
            <w:pPr>
              <w:pStyle w:val="Prrafodelista"/>
              <w:numPr>
                <w:ilvl w:val="0"/>
                <w:numId w:val="4"/>
              </w:numPr>
              <w:ind w:right="-90"/>
              <w:jc w:val="both"/>
              <w:rPr>
                <w:rFonts w:ascii="Abadi" w:hAnsi="Abadi"/>
                <w:sz w:val="24"/>
                <w:szCs w:val="24"/>
                <w:lang w:val="en-US"/>
              </w:rPr>
            </w:pPr>
            <w:r>
              <w:rPr>
                <w:rFonts w:ascii="Abadi" w:eastAsia="Calibri" w:hAnsi="Abadi" w:cs="Calibri"/>
                <w:color w:val="1A1A1A"/>
                <w:sz w:val="24"/>
                <w:szCs w:val="24"/>
                <w:lang w:val="en-US"/>
              </w:rPr>
              <w:t>Estimated timeline: first exports 2027-2028, full volume 2030-2031.</w:t>
            </w:r>
          </w:p>
        </w:tc>
      </w:tr>
      <w:tr w:rsidR="00DF147D" w:rsidRPr="00FF37C1" w14:paraId="084BE31A" w14:textId="77777777">
        <w:tblPrEx>
          <w:tblCellMar>
            <w:top w:w="0" w:type="dxa"/>
            <w:bottom w:w="0" w:type="dxa"/>
          </w:tblCellMar>
        </w:tblPrEx>
        <w:tc>
          <w:tcPr>
            <w:tcW w:w="10080" w:type="dxa"/>
            <w:tcBorders>
              <w:top w:val="none" w:sz="0" w:space="0" w:color="FFFFFF"/>
              <w:left w:val="none" w:sz="0" w:space="0" w:color="FFFFFF"/>
              <w:bottom w:val="none" w:sz="0" w:space="0" w:color="FFFFFF"/>
              <w:right w:val="none" w:sz="0" w:space="0" w:color="FFFFFF"/>
            </w:tcBorders>
            <w:shd w:val="clear" w:color="auto" w:fill="F5F5F5"/>
            <w:tcMar>
              <w:top w:w="40" w:type="dxa"/>
              <w:left w:w="200" w:type="dxa"/>
              <w:bottom w:w="40" w:type="dxa"/>
              <w:right w:w="160" w:type="dxa"/>
            </w:tcMar>
          </w:tcPr>
          <w:p w14:paraId="71C75D1C" w14:textId="4C3846A6" w:rsidR="00DF147D" w:rsidRPr="0018255F" w:rsidRDefault="00000000" w:rsidP="0018255F">
            <w:pPr>
              <w:pStyle w:val="Prrafodelista"/>
              <w:numPr>
                <w:ilvl w:val="0"/>
                <w:numId w:val="4"/>
              </w:numPr>
              <w:ind w:right="-90"/>
              <w:jc w:val="both"/>
              <w:rPr>
                <w:rFonts w:ascii="Abadi" w:hAnsi="Abadi"/>
                <w:sz w:val="24"/>
                <w:szCs w:val="24"/>
                <w:lang w:val="en-US"/>
              </w:rPr>
            </w:pPr>
            <w:r>
              <w:rPr>
                <w:rFonts w:ascii="Abadi" w:eastAsia="Calibri" w:hAnsi="Abadi" w:cs="Calibri"/>
                <w:color w:val="1A1A1A"/>
                <w:sz w:val="24"/>
                <w:szCs w:val="24"/>
                <w:lang w:val="en-US"/>
              </w:rPr>
              <w:t>Main risk: regulatory coherence under the new transitional government and maintenance of OFAC licenses.</w:t>
            </w:r>
          </w:p>
        </w:tc>
      </w:tr>
    </w:tbl>
    <w:p w14:paraId="62540D86" w14:textId="77777777" w:rsidR="00DF147D" w:rsidRPr="00FF37C1" w:rsidRDefault="00DF147D" w:rsidP="00A7547F">
      <w:pPr>
        <w:ind w:right="-90"/>
        <w:jc w:val="both"/>
        <w:rPr>
          <w:rFonts w:ascii="Abadi" w:hAnsi="Abadi"/>
          <w:sz w:val="24"/>
          <w:szCs w:val="24"/>
          <w:lang w:val="en-US"/>
        </w:rPr>
      </w:pPr>
    </w:p>
    <w:tbl>
      <w:tblPr>
        <w:tblW w:w="10080" w:type="dxa"/>
        <w:tblBorders>
          <w:top w:val="none" w:sz="0" w:space="0" w:color="FFFFFF"/>
          <w:left w:val="none" w:sz="0" w:space="0" w:color="FFFFFF"/>
          <w:bottom w:val="single" w:sz="12" w:space="0" w:color="CC0000"/>
          <w:right w:val="none" w:sz="0" w:space="0" w:color="FFFFFF"/>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80"/>
      </w:tblGrid>
      <w:tr w:rsidR="00DF147D" w:rsidRPr="00FF37C1" w14:paraId="4DDD0CAB" w14:textId="77777777">
        <w:tblPrEx>
          <w:tblCellMar>
            <w:top w:w="0" w:type="dxa"/>
            <w:bottom w:w="0" w:type="dxa"/>
          </w:tblCellMar>
        </w:tblPrEx>
        <w:tc>
          <w:tcPr>
            <w:tcW w:w="10080" w:type="dxa"/>
            <w:tcBorders>
              <w:top w:val="none" w:sz="0" w:space="0" w:color="FFFFFF"/>
              <w:left w:val="none" w:sz="0" w:space="0" w:color="FFFFFF"/>
              <w:bottom w:val="none" w:sz="0" w:space="0" w:color="FFFFFF"/>
              <w:right w:val="none" w:sz="0" w:space="0" w:color="FFFFFF"/>
            </w:tcBorders>
            <w:shd w:val="clear" w:color="auto" w:fill="111E35"/>
            <w:tcMar>
              <w:top w:w="100" w:type="dxa"/>
              <w:left w:w="200" w:type="dxa"/>
              <w:bottom w:w="100" w:type="dxa"/>
              <w:right w:w="200" w:type="dxa"/>
            </w:tcMar>
          </w:tcPr>
          <w:p w14:paraId="4D97A68B" w14:textId="77777777" w:rsidR="00DF147D" w:rsidRPr="00FF37C1" w:rsidRDefault="00000000" w:rsidP="00A7547F">
            <w:pPr>
              <w:ind w:right="-90"/>
              <w:jc w:val="both"/>
              <w:rPr>
                <w:rFonts w:ascii="Abadi" w:hAnsi="Abadi"/>
                <w:sz w:val="24"/>
                <w:szCs w:val="24"/>
                <w:lang w:val="en-US"/>
              </w:rPr>
            </w:pPr>
            <w:r>
              <w:rPr>
                <w:rFonts w:ascii="Abadi" w:eastAsia="Calibri" w:hAnsi="Abadi" w:cs="Calibri"/>
                <w:b/>
                <w:bCs/>
                <w:color w:val="FFFFFF"/>
                <w:sz w:val="24"/>
                <w:szCs w:val="24"/>
                <w:lang w:val="en-US"/>
              </w:rPr>
              <w:t>5.  MINING SECTOR: THE ORINOCO MINING ARC</w:t>
            </w:r>
          </w:p>
        </w:tc>
      </w:tr>
    </w:tbl>
    <w:p w14:paraId="324AE211" w14:textId="77777777" w:rsidR="0018255F" w:rsidRDefault="0018255F" w:rsidP="00A7547F">
      <w:pPr>
        <w:pBdr>
          <w:bottom w:val="single" w:sz="6" w:space="0" w:color="CC0000"/>
        </w:pBdr>
        <w:ind w:right="-90"/>
        <w:jc w:val="both"/>
        <w:rPr>
          <w:rFonts w:ascii="Abadi" w:eastAsia="Calibri" w:hAnsi="Abadi" w:cs="Calibri"/>
          <w:b/>
          <w:bCs/>
          <w:color w:val="1A1A1A"/>
          <w:sz w:val="24"/>
          <w:szCs w:val="24"/>
          <w:lang w:val="en-US"/>
        </w:rPr>
      </w:pPr>
    </w:p>
    <w:p w14:paraId="343BE4B9" w14:textId="25FB3C74" w:rsidR="00DF147D" w:rsidRPr="00FF37C1" w:rsidRDefault="00000000" w:rsidP="00A7547F">
      <w:pPr>
        <w:pBdr>
          <w:bottom w:val="single" w:sz="6" w:space="0" w:color="CC0000"/>
        </w:pBdr>
        <w:ind w:right="-90"/>
        <w:jc w:val="both"/>
        <w:rPr>
          <w:rFonts w:ascii="Abadi" w:hAnsi="Abadi"/>
          <w:sz w:val="24"/>
          <w:szCs w:val="24"/>
          <w:lang w:val="en-US"/>
        </w:rPr>
      </w:pPr>
      <w:r>
        <w:rPr>
          <w:rFonts w:ascii="Abadi" w:eastAsia="Calibri" w:hAnsi="Abadi" w:cs="Calibri"/>
          <w:b/>
          <w:bCs/>
          <w:color w:val="1A1A1A"/>
          <w:sz w:val="24"/>
          <w:szCs w:val="24"/>
          <w:lang w:val="en-US"/>
        </w:rPr>
        <w:t>5.1  Venezuela's Mineral Potential</w:t>
      </w:r>
    </w:p>
    <w:p w14:paraId="1BB9D346" w14:textId="77777777" w:rsidR="0018255F" w:rsidRDefault="0018255F" w:rsidP="00A7547F">
      <w:pPr>
        <w:ind w:right="-90" w:firstLine="720"/>
        <w:jc w:val="both"/>
        <w:rPr>
          <w:rFonts w:ascii="Abadi" w:eastAsia="Calibri" w:hAnsi="Abadi" w:cs="Calibri"/>
          <w:color w:val="1A1A1A"/>
          <w:sz w:val="24"/>
          <w:szCs w:val="24"/>
          <w:lang w:val="en-US"/>
        </w:rPr>
      </w:pPr>
    </w:p>
    <w:p w14:paraId="78C2568F" w14:textId="7DCF7B4A" w:rsidR="00DF147D" w:rsidRDefault="00000000" w:rsidP="00A7547F">
      <w:pPr>
        <w:ind w:right="-90" w:firstLine="720"/>
        <w:jc w:val="both"/>
        <w:rPr>
          <w:rFonts w:ascii="Abadi" w:eastAsia="Calibri" w:hAnsi="Abadi" w:cs="Calibri"/>
          <w:color w:val="1A1A1A"/>
          <w:sz w:val="24"/>
          <w:szCs w:val="24"/>
          <w:lang w:val="en-US"/>
        </w:rPr>
      </w:pPr>
      <w:r>
        <w:rPr>
          <w:rFonts w:ascii="Abadi" w:eastAsia="Calibri" w:hAnsi="Abadi" w:cs="Calibri"/>
          <w:color w:val="1A1A1A"/>
          <w:sz w:val="24"/>
          <w:szCs w:val="24"/>
          <w:lang w:val="en-US"/>
        </w:rPr>
        <w:t xml:space="preserve">The Orinoco Mining Arc (AMO), created by Presidential Decree in 2016 over an area of 111,843 km², represents one of the most important strategic mineral deposits in the Western Hemisphere. The zone concentrates significant reserves of gold, coltan (niobium-tantalum), diamonds, iron, bauxite, copper, nickel, and rare earth elements.</w:t>
      </w:r>
    </w:p>
    <w:p w14:paraId="4AC4FEC6" w14:textId="77777777" w:rsidR="0018255F" w:rsidRPr="00FF37C1" w:rsidRDefault="0018255F" w:rsidP="00A7547F">
      <w:pPr>
        <w:ind w:right="-90" w:firstLine="720"/>
        <w:jc w:val="both"/>
        <w:rPr>
          <w:rFonts w:ascii="Abadi" w:hAnsi="Abadi"/>
          <w:sz w:val="24"/>
          <w:szCs w:val="24"/>
          <w:lang w:val="en-US"/>
        </w:rPr>
      </w:pPr>
    </w:p>
    <w:tbl>
      <w:tblPr>
        <w:tblW w:w="10165" w:type="dxa"/>
        <w:tblBorders>
          <w:top w:val="single" w:sz="4" w:space="0" w:color="999999"/>
          <w:left w:val="single" w:sz="4" w:space="0" w:color="999999"/>
          <w:bottom w:val="single" w:sz="4" w:space="0" w:color="999999"/>
          <w:right w:val="single" w:sz="4" w:space="0" w:color="999999"/>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80"/>
        <w:gridCol w:w="2688"/>
        <w:gridCol w:w="2688"/>
        <w:gridCol w:w="3109"/>
      </w:tblGrid>
      <w:tr w:rsidR="00DF147D" w:rsidRPr="0018255F" w14:paraId="51E14C1A" w14:textId="77777777" w:rsidTr="0018255F">
        <w:tblPrEx>
          <w:tblCellMar>
            <w:top w:w="0" w:type="dxa"/>
            <w:bottom w:w="0" w:type="dxa"/>
          </w:tblCellMar>
        </w:tblPrEx>
        <w:tc>
          <w:tcPr>
            <w:tcW w:w="1680"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527FA57B" w14:textId="77777777" w:rsidR="00DF147D" w:rsidRPr="0018255F" w:rsidRDefault="00000000" w:rsidP="0018255F">
            <w:pPr>
              <w:ind w:right="-90"/>
              <w:jc w:val="center"/>
              <w:rPr>
                <w:rFonts w:ascii="Abadi" w:hAnsi="Abadi"/>
                <w:sz w:val="22"/>
                <w:szCs w:val="22"/>
                <w:lang w:val="en-US"/>
              </w:rPr>
            </w:pPr>
            <w:r>
              <w:rPr>
                <w:rFonts w:ascii="Abadi" w:eastAsia="Calibri" w:hAnsi="Abadi" w:cs="Calibri"/>
                <w:b/>
                <w:bCs/>
                <w:color w:val="FFFFFF"/>
                <w:sz w:val="22"/>
                <w:szCs w:val="22"/>
                <w:lang w:val="en-US"/>
              </w:rPr>
              <w:t>Mineral</w:t>
            </w:r>
          </w:p>
        </w:tc>
        <w:tc>
          <w:tcPr>
            <w:tcW w:w="2688"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05FC5181" w14:textId="77777777" w:rsidR="00DF147D" w:rsidRPr="0018255F" w:rsidRDefault="00000000" w:rsidP="0018255F">
            <w:pPr>
              <w:ind w:right="-90"/>
              <w:jc w:val="center"/>
              <w:rPr>
                <w:rFonts w:ascii="Abadi" w:hAnsi="Abadi"/>
                <w:sz w:val="22"/>
                <w:szCs w:val="22"/>
                <w:lang w:val="en-US"/>
              </w:rPr>
            </w:pPr>
            <w:r>
              <w:rPr>
                <w:rFonts w:ascii="Abadi" w:eastAsia="Calibri" w:hAnsi="Abadi" w:cs="Calibri"/>
                <w:b/>
                <w:bCs/>
                <w:color w:val="FFFFFF"/>
                <w:sz w:val="22"/>
                <w:szCs w:val="22"/>
                <w:lang w:val="en-US"/>
              </w:rPr>
              <w:t>Estimated Reserves</w:t>
            </w:r>
          </w:p>
        </w:tc>
        <w:tc>
          <w:tcPr>
            <w:tcW w:w="2688"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3BCF71F8" w14:textId="77777777" w:rsidR="00DF147D" w:rsidRPr="0018255F" w:rsidRDefault="00000000" w:rsidP="0018255F">
            <w:pPr>
              <w:ind w:right="-90"/>
              <w:jc w:val="center"/>
              <w:rPr>
                <w:rFonts w:ascii="Abadi" w:hAnsi="Abadi"/>
                <w:sz w:val="22"/>
                <w:szCs w:val="22"/>
                <w:lang w:val="en-US"/>
              </w:rPr>
            </w:pPr>
            <w:r>
              <w:rPr>
                <w:rFonts w:ascii="Abadi" w:eastAsia="Calibri" w:hAnsi="Abadi" w:cs="Calibri"/>
                <w:b/>
                <w:bCs/>
                <w:color w:val="FFFFFF"/>
                <w:sz w:val="22"/>
                <w:szCs w:val="22"/>
                <w:lang w:val="en-US"/>
              </w:rPr>
              <w:t>Exploitation Status</w:t>
            </w:r>
          </w:p>
        </w:tc>
        <w:tc>
          <w:tcPr>
            <w:tcW w:w="3109"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20540219" w14:textId="77777777" w:rsidR="00DF147D" w:rsidRPr="0018255F" w:rsidRDefault="00000000" w:rsidP="0018255F">
            <w:pPr>
              <w:ind w:right="-90"/>
              <w:jc w:val="center"/>
              <w:rPr>
                <w:rFonts w:ascii="Abadi" w:hAnsi="Abadi"/>
                <w:sz w:val="22"/>
                <w:szCs w:val="22"/>
                <w:lang w:val="en-US"/>
              </w:rPr>
            </w:pPr>
            <w:r>
              <w:rPr>
                <w:rFonts w:ascii="Abadi" w:eastAsia="Calibri" w:hAnsi="Abadi" w:cs="Calibri"/>
                <w:b/>
                <w:bCs/>
                <w:color w:val="FFFFFF"/>
                <w:sz w:val="22"/>
                <w:szCs w:val="22"/>
                <w:lang w:val="en-US"/>
              </w:rPr>
              <w:t>Strategic Value</w:t>
            </w:r>
          </w:p>
        </w:tc>
      </w:tr>
      <w:tr w:rsidR="00DF147D" w:rsidRPr="0018255F" w14:paraId="2FE94101" w14:textId="77777777" w:rsidTr="0018255F">
        <w:tblPrEx>
          <w:tblCellMar>
            <w:top w:w="0" w:type="dxa"/>
            <w:bottom w:w="0" w:type="dxa"/>
          </w:tblCellMar>
        </w:tblPrEx>
        <w:tc>
          <w:tcPr>
            <w:tcW w:w="16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4B31652D"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Gold</w:t>
            </w:r>
          </w:p>
        </w:tc>
        <w:tc>
          <w:tcPr>
            <w:tcW w:w="2688"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4103401F"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&gt;7,000 toneladas (métricas)</w:t>
            </w:r>
          </w:p>
        </w:tc>
        <w:tc>
          <w:tcPr>
            <w:tcW w:w="2688"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34BFB7C2"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Active: formal and informal</w:t>
            </w:r>
          </w:p>
        </w:tc>
        <w:tc>
          <w:tcPr>
            <w:tcW w:w="3109"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39F966CB"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High — BCV reserves + export</w:t>
            </w:r>
          </w:p>
        </w:tc>
      </w:tr>
      <w:tr w:rsidR="00DF147D" w:rsidRPr="0018255F" w14:paraId="54A3AE13" w14:textId="77777777" w:rsidTr="0018255F">
        <w:tblPrEx>
          <w:tblCellMar>
            <w:top w:w="0" w:type="dxa"/>
            <w:bottom w:w="0" w:type="dxa"/>
          </w:tblCellMar>
        </w:tblPrEx>
        <w:tc>
          <w:tcPr>
            <w:tcW w:w="16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226F933D"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Coltan (Nb-Ta)</w:t>
            </w:r>
          </w:p>
        </w:tc>
        <w:tc>
          <w:tcPr>
            <w:tcW w:w="2688"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2D7056C4"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Undefined (prospected)</w:t>
            </w:r>
          </w:p>
        </w:tc>
        <w:tc>
          <w:tcPr>
            <w:tcW w:w="2688"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49BD5B3E"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Artisanal / informal</w:t>
            </w:r>
          </w:p>
        </w:tc>
        <w:tc>
          <w:tcPr>
            <w:tcW w:w="3109"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006242A7"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Critical — electronics, defense</w:t>
            </w:r>
          </w:p>
        </w:tc>
      </w:tr>
      <w:tr w:rsidR="00DF147D" w:rsidRPr="0018255F" w14:paraId="583BE2C4" w14:textId="77777777" w:rsidTr="0018255F">
        <w:tblPrEx>
          <w:tblCellMar>
            <w:top w:w="0" w:type="dxa"/>
            <w:bottom w:w="0" w:type="dxa"/>
          </w:tblCellMar>
        </w:tblPrEx>
        <w:tc>
          <w:tcPr>
            <w:tcW w:w="16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2659EB98"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Iron</w:t>
            </w:r>
          </w:p>
        </w:tc>
        <w:tc>
          <w:tcPr>
            <w:tcW w:w="2688"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62AFDC2A"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&gt;15,000 Mt (Cerro Bolívar, etc.)</w:t>
            </w:r>
          </w:p>
        </w:tc>
        <w:tc>
          <w:tcPr>
            <w:tcW w:w="2688"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0F9E2F12"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SIDOR partially active</w:t>
            </w:r>
          </w:p>
        </w:tc>
        <w:tc>
          <w:tcPr>
            <w:tcW w:w="3109"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42808A06"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Medium — regional steel industry</w:t>
            </w:r>
          </w:p>
        </w:tc>
      </w:tr>
      <w:tr w:rsidR="00DF147D" w:rsidRPr="0018255F" w14:paraId="3F2C7CC6" w14:textId="77777777" w:rsidTr="0018255F">
        <w:tblPrEx>
          <w:tblCellMar>
            <w:top w:w="0" w:type="dxa"/>
            <w:bottom w:w="0" w:type="dxa"/>
          </w:tblCellMar>
        </w:tblPrEx>
        <w:tc>
          <w:tcPr>
            <w:tcW w:w="16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0C776A33"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Bauxite</w:t>
            </w:r>
          </w:p>
        </w:tc>
        <w:tc>
          <w:tcPr>
            <w:tcW w:w="2688"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5C31D6B4"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~320 Mt</w:t>
            </w:r>
          </w:p>
        </w:tc>
        <w:tc>
          <w:tcPr>
            <w:tcW w:w="2688"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7F06AFB9"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Halted (Alcasa/Venalum)</w:t>
            </w:r>
          </w:p>
        </w:tc>
        <w:tc>
          <w:tcPr>
            <w:tcW w:w="3109"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3E904178"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Medium — aluminum</w:t>
            </w:r>
          </w:p>
        </w:tc>
      </w:tr>
      <w:tr w:rsidR="00DF147D" w:rsidRPr="0018255F" w14:paraId="7B1D7ADA" w14:textId="77777777" w:rsidTr="0018255F">
        <w:tblPrEx>
          <w:tblCellMar>
            <w:top w:w="0" w:type="dxa"/>
            <w:bottom w:w="0" w:type="dxa"/>
          </w:tblCellMar>
        </w:tblPrEx>
        <w:tc>
          <w:tcPr>
            <w:tcW w:w="16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28BB8C27"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Diamonds</w:t>
            </w:r>
          </w:p>
        </w:tc>
        <w:tc>
          <w:tcPr>
            <w:tcW w:w="2688"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3DFC6DF0"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&gt;100M quilates estimados</w:t>
            </w:r>
          </w:p>
        </w:tc>
        <w:tc>
          <w:tcPr>
            <w:tcW w:w="2688"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18126BC1"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Dominant informal</w:t>
            </w:r>
          </w:p>
        </w:tc>
        <w:tc>
          <w:tcPr>
            <w:tcW w:w="3109"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15BC7D3E"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Medium-high</w:t>
            </w:r>
          </w:p>
        </w:tc>
      </w:tr>
    </w:tbl>
    <w:p w14:paraId="34FEFA67" w14:textId="77777777" w:rsidR="00DF147D" w:rsidRPr="00FF37C1" w:rsidRDefault="00DF147D" w:rsidP="00A7547F">
      <w:pPr>
        <w:ind w:right="-90"/>
        <w:jc w:val="both"/>
        <w:rPr>
          <w:rFonts w:ascii="Abadi" w:hAnsi="Abadi"/>
          <w:sz w:val="24"/>
          <w:szCs w:val="24"/>
        </w:rPr>
      </w:pPr>
    </w:p>
    <w:p w14:paraId="2D130D1C" w14:textId="77777777" w:rsidR="0018255F" w:rsidRDefault="0018255F" w:rsidP="00A7547F">
      <w:pPr>
        <w:pBdr>
          <w:bottom w:val="single" w:sz="6" w:space="0" w:color="CC0000"/>
        </w:pBdr>
        <w:ind w:right="-90"/>
        <w:jc w:val="both"/>
        <w:rPr>
          <w:rFonts w:ascii="Abadi" w:eastAsia="Calibri" w:hAnsi="Abadi" w:cs="Calibri"/>
          <w:b/>
          <w:bCs/>
          <w:color w:val="1A1A1A"/>
          <w:sz w:val="24"/>
          <w:szCs w:val="24"/>
        </w:rPr>
      </w:pPr>
    </w:p>
    <w:p w14:paraId="34D908FA" w14:textId="1F9EE064" w:rsidR="00DF147D" w:rsidRPr="00FF37C1" w:rsidRDefault="00000000" w:rsidP="00A7547F">
      <w:pPr>
        <w:pBdr>
          <w:bottom w:val="single" w:sz="6" w:space="0" w:color="CC0000"/>
        </w:pBdr>
        <w:ind w:right="-90"/>
        <w:jc w:val="both"/>
        <w:rPr>
          <w:rFonts w:ascii="Abadi" w:hAnsi="Abadi"/>
          <w:sz w:val="24"/>
          <w:szCs w:val="24"/>
        </w:rPr>
      </w:pPr>
      <w:r>
        <w:rPr>
          <w:rFonts w:ascii="Abadi" w:eastAsia="Calibri" w:hAnsi="Abadi" w:cs="Calibri"/>
          <w:b/>
          <w:bCs/>
          <w:color w:val="1A1A1A"/>
          <w:sz w:val="24"/>
          <w:szCs w:val="24"/>
        </w:rPr>
        <w:t>5.2  Informality and Socio-Environmental Risk</w:t>
      </w:r>
    </w:p>
    <w:p w14:paraId="1B42278E" w14:textId="77777777" w:rsidR="0018255F" w:rsidRDefault="0018255F" w:rsidP="00A7547F">
      <w:pPr>
        <w:ind w:right="-90" w:firstLine="720"/>
        <w:jc w:val="both"/>
        <w:rPr>
          <w:rFonts w:ascii="Abadi" w:eastAsia="Calibri" w:hAnsi="Abadi" w:cs="Calibri"/>
          <w:color w:val="1A1A1A"/>
          <w:sz w:val="24"/>
          <w:szCs w:val="24"/>
          <w:lang w:val="en-US"/>
        </w:rPr>
      </w:pPr>
    </w:p>
    <w:p w14:paraId="053A2435" w14:textId="4EEAA82A" w:rsidR="00DF147D" w:rsidRDefault="00000000" w:rsidP="00A7547F">
      <w:pPr>
        <w:ind w:right="-90" w:firstLine="720"/>
        <w:jc w:val="both"/>
        <w:rPr>
          <w:rFonts w:ascii="Abadi" w:eastAsia="Calibri" w:hAnsi="Abadi" w:cs="Calibri"/>
          <w:color w:val="1A1A1A"/>
          <w:sz w:val="24"/>
          <w:szCs w:val="24"/>
          <w:lang w:val="en-US"/>
        </w:rPr>
      </w:pPr>
      <w:r>
        <w:rPr>
          <w:rFonts w:ascii="Abadi" w:eastAsia="Calibri" w:hAnsi="Abadi" w:cs="Calibri"/>
          <w:color w:val="1A1A1A"/>
          <w:sz w:val="24"/>
          <w:szCs w:val="24"/>
          <w:lang w:val="en-US"/>
        </w:rPr>
        <w:t>Mining exploitation in the AMO presents a serious structural problem: the dominance of illegal and informal mining, largely controlled by irregular armed groups (pranes, Colombian ELN, FARC dissidents) under the documented scheme known as "Mining Syndicates." This criminal structure controls access to extraction zones, charges illegal fees, and generates systematic violence.</w:t>
      </w:r>
    </w:p>
    <w:p w14:paraId="5A61CE98" w14:textId="77777777" w:rsidR="0018255F" w:rsidRPr="00FF37C1" w:rsidRDefault="0018255F" w:rsidP="00A7547F">
      <w:pPr>
        <w:ind w:right="-90" w:firstLine="720"/>
        <w:jc w:val="both"/>
        <w:rPr>
          <w:rFonts w:ascii="Abadi" w:hAnsi="Abadi"/>
          <w:sz w:val="24"/>
          <w:szCs w:val="24"/>
          <w:lang w:val="en-US"/>
        </w:rPr>
      </w:pPr>
    </w:p>
    <w:p w14:paraId="228BC060" w14:textId="77777777" w:rsidR="00DF147D" w:rsidRDefault="00000000" w:rsidP="00A7547F">
      <w:pPr>
        <w:ind w:right="-90" w:firstLine="720"/>
        <w:jc w:val="both"/>
        <w:rPr>
          <w:rFonts w:ascii="Abadi" w:eastAsia="Calibri" w:hAnsi="Abadi" w:cs="Calibri"/>
          <w:color w:val="1A1A1A"/>
          <w:sz w:val="24"/>
          <w:szCs w:val="24"/>
          <w:lang w:val="en-US"/>
        </w:rPr>
      </w:pPr>
      <w:r>
        <w:rPr>
          <w:rFonts w:ascii="Abadi" w:eastAsia="Calibri" w:hAnsi="Abadi" w:cs="Calibri"/>
          <w:color w:val="1A1A1A"/>
          <w:sz w:val="24"/>
          <w:szCs w:val="24"/>
          <w:lang w:val="en-US"/>
        </w:rPr>
        <w:t xml:space="preserve">Among the main documented socio-environmental risks are: massive deforestation (estimated at more than 900 km² in the 2016-2024 period according to PROVEA and indigenous organizations), mercury contamination of southern Venezuelan river basins, and the systematic violation of the rights of Pemón, Yanomami, and Kariña indigenous peoples.</w:t>
      </w:r>
    </w:p>
    <w:p w14:paraId="1EA1EDCE" w14:textId="77777777" w:rsidR="0018255F" w:rsidRPr="00FF37C1" w:rsidRDefault="0018255F" w:rsidP="00A7547F">
      <w:pPr>
        <w:ind w:right="-90" w:firstLine="720"/>
        <w:jc w:val="both"/>
        <w:rPr>
          <w:rFonts w:ascii="Abadi" w:hAnsi="Abadi"/>
          <w:sz w:val="24"/>
          <w:szCs w:val="24"/>
          <w:lang w:val="en-US"/>
        </w:rPr>
      </w:pPr>
    </w:p>
    <w:tbl>
      <w:tblPr>
        <w:tblW w:w="10080" w:type="dxa"/>
        <w:tblBorders>
          <w:top w:val="single" w:sz="4" w:space="0" w:color="999999"/>
          <w:left w:val="single" w:sz="4" w:space="0" w:color="999999"/>
          <w:bottom w:val="single" w:sz="4" w:space="0" w:color="999999"/>
          <w:right w:val="single" w:sz="4" w:space="0" w:color="999999"/>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80"/>
      </w:tblGrid>
      <w:tr w:rsidR="00DF147D" w:rsidRPr="00FF37C1" w14:paraId="077DD78D" w14:textId="77777777">
        <w:tblPrEx>
          <w:tblCellMar>
            <w:top w:w="0" w:type="dxa"/>
            <w:bottom w:w="0" w:type="dxa"/>
          </w:tblCellMar>
        </w:tblPrEx>
        <w:tc>
          <w:tcPr>
            <w:tcW w:w="10080" w:type="dxa"/>
            <w:tcBorders>
              <w:top w:val="none" w:sz="0" w:space="0" w:color="FFFFFF"/>
              <w:left w:val="none" w:sz="0" w:space="0" w:color="FFFFFF"/>
              <w:bottom w:val="none" w:sz="0" w:space="0" w:color="FFFFFF"/>
              <w:right w:val="none" w:sz="0" w:space="0" w:color="FFFFFF"/>
            </w:tcBorders>
            <w:shd w:val="clear" w:color="auto" w:fill="E8E8E8"/>
            <w:tcMar>
              <w:top w:w="80" w:type="dxa"/>
              <w:left w:w="160" w:type="dxa"/>
              <w:bottom w:w="80" w:type="dxa"/>
              <w:right w:w="160" w:type="dxa"/>
            </w:tcMar>
          </w:tcPr>
          <w:p w14:paraId="665FE26A" w14:textId="5597A9D1" w:rsidR="00DF147D" w:rsidRPr="00FF37C1" w:rsidRDefault="00000000" w:rsidP="00A7547F">
            <w:pPr>
              <w:ind w:right="-90"/>
              <w:jc w:val="both"/>
              <w:rPr>
                <w:rFonts w:ascii="Abadi" w:hAnsi="Abadi"/>
                <w:sz w:val="24"/>
                <w:szCs w:val="24"/>
                <w:lang w:val="en-US"/>
              </w:rPr>
            </w:pPr>
            <w:r>
              <w:rPr>
                <w:rFonts w:ascii="Segoe UI Symbol" w:eastAsia="Calibri" w:hAnsi="Segoe UI Symbol" w:cs="Segoe UI Symbol"/>
                <w:b/>
                <w:bCs/>
                <w:color w:val="CC0000"/>
                <w:sz w:val="24"/>
                <w:szCs w:val="24"/>
                <w:lang w:val="en-US"/>
              </w:rPr>
              <w:t>⚠</w:t>
            </w:r>
            <w:r>
              <w:rPr>
                <w:rFonts w:ascii="Abadi" w:eastAsia="Calibri" w:hAnsi="Abadi" w:cs="Calibri"/>
                <w:b/>
                <w:bCs/>
                <w:color w:val="CC0000"/>
                <w:sz w:val="24"/>
                <w:szCs w:val="24"/>
                <w:lang w:val="en-US"/>
              </w:rPr>
              <w:t xml:space="preserve"> </w:t>
            </w:r>
            <w:r>
              <w:rPr>
                <w:rFonts w:ascii="Abadi" w:eastAsia="Calibri" w:hAnsi="Abadi" w:cs="Calibri"/>
                <w:b/>
                <w:bCs/>
                <w:color w:val="1A1A1A"/>
                <w:sz w:val="24"/>
                <w:szCs w:val="24"/>
                <w:lang w:val="en-US"/>
              </w:rPr>
              <w:t>CRITICAL ASSESSMENT — ANALYSIS: MINING SECTOR</w:t>
            </w:r>
          </w:p>
        </w:tc>
      </w:tr>
      <w:tr w:rsidR="00DF147D" w:rsidRPr="00FF37C1" w14:paraId="2CAF2C01" w14:textId="77777777">
        <w:tblPrEx>
          <w:tblCellMar>
            <w:top w:w="0" w:type="dxa"/>
            <w:bottom w:w="0" w:type="dxa"/>
          </w:tblCellMar>
        </w:tblPrEx>
        <w:tc>
          <w:tcPr>
            <w:tcW w:w="10080" w:type="dxa"/>
            <w:tcBorders>
              <w:top w:val="none" w:sz="0" w:space="0" w:color="FFFFFF"/>
              <w:left w:val="none" w:sz="0" w:space="0" w:color="FFFFFF"/>
              <w:bottom w:val="none" w:sz="0" w:space="0" w:color="FFFFFF"/>
              <w:right w:val="none" w:sz="0" w:space="0" w:color="FFFFFF"/>
            </w:tcBorders>
            <w:shd w:val="clear" w:color="auto" w:fill="F5F5F5"/>
            <w:tcMar>
              <w:top w:w="40" w:type="dxa"/>
              <w:left w:w="200" w:type="dxa"/>
              <w:bottom w:w="40" w:type="dxa"/>
              <w:right w:w="160" w:type="dxa"/>
            </w:tcMar>
          </w:tcPr>
          <w:p w14:paraId="5FEE1420" w14:textId="443EC402" w:rsidR="0018255F" w:rsidRPr="0018255F" w:rsidRDefault="0018255F" w:rsidP="0018255F">
            <w:pPr>
              <w:pStyle w:val="Prrafodelista"/>
              <w:ind w:left="720" w:right="-90"/>
              <w:jc w:val="both"/>
              <w:rPr>
                <w:rFonts w:ascii="Abadi" w:eastAsia="Calibri" w:hAnsi="Abadi" w:cs="Calibri"/>
                <w:color w:val="1A1A1A"/>
                <w:sz w:val="24"/>
                <w:szCs w:val="24"/>
                <w:lang w:val="en-US"/>
              </w:rPr>
            </w:pPr>
          </w:p>
          <w:p w14:paraId="01C2E3F0" w14:textId="452CBA26" w:rsidR="00DF147D" w:rsidRPr="0018255F" w:rsidRDefault="00000000" w:rsidP="0018255F">
            <w:pPr>
              <w:pStyle w:val="Prrafodelista"/>
              <w:numPr>
                <w:ilvl w:val="0"/>
                <w:numId w:val="5"/>
              </w:numPr>
              <w:ind w:right="-90"/>
              <w:jc w:val="both"/>
              <w:rPr>
                <w:rFonts w:ascii="Abadi" w:hAnsi="Abadi"/>
                <w:sz w:val="24"/>
                <w:szCs w:val="24"/>
                <w:lang w:val="en-US"/>
              </w:rPr>
            </w:pPr>
            <w:r>
              <w:rPr>
                <w:rFonts w:ascii="Abadi" w:eastAsia="Calibri" w:hAnsi="Abadi" w:cs="Calibri"/>
                <w:color w:val="1A1A1A"/>
                <w:sz w:val="24"/>
                <w:szCs w:val="24"/>
                <w:lang w:val="en-US"/>
              </w:rPr>
              <w:t>The AMO represents a real long-term opportunity (2026-2035) for critical mineral investors, but the regulatory and security environment requires prior political-institutional stabilization that has not yet occurred.</w:t>
            </w:r>
          </w:p>
        </w:tc>
      </w:tr>
      <w:tr w:rsidR="00DF147D" w:rsidRPr="00FF37C1" w14:paraId="18FBA945" w14:textId="77777777">
        <w:tblPrEx>
          <w:tblCellMar>
            <w:top w:w="0" w:type="dxa"/>
            <w:bottom w:w="0" w:type="dxa"/>
          </w:tblCellMar>
        </w:tblPrEx>
        <w:tc>
          <w:tcPr>
            <w:tcW w:w="10080" w:type="dxa"/>
            <w:tcBorders>
              <w:top w:val="none" w:sz="0" w:space="0" w:color="FFFFFF"/>
              <w:left w:val="none" w:sz="0" w:space="0" w:color="FFFFFF"/>
              <w:bottom w:val="none" w:sz="0" w:space="0" w:color="FFFFFF"/>
              <w:right w:val="none" w:sz="0" w:space="0" w:color="FFFFFF"/>
            </w:tcBorders>
            <w:shd w:val="clear" w:color="auto" w:fill="F5F5F5"/>
            <w:tcMar>
              <w:top w:w="40" w:type="dxa"/>
              <w:left w:w="200" w:type="dxa"/>
              <w:bottom w:w="40" w:type="dxa"/>
              <w:right w:w="160" w:type="dxa"/>
            </w:tcMar>
          </w:tcPr>
          <w:p w14:paraId="5737F695" w14:textId="57902AA3" w:rsidR="00DF147D" w:rsidRPr="0018255F" w:rsidRDefault="00000000" w:rsidP="0018255F">
            <w:pPr>
              <w:pStyle w:val="Prrafodelista"/>
              <w:numPr>
                <w:ilvl w:val="0"/>
                <w:numId w:val="5"/>
              </w:numPr>
              <w:ind w:right="-90"/>
              <w:jc w:val="both"/>
              <w:rPr>
                <w:rFonts w:ascii="Abadi" w:hAnsi="Abadi"/>
                <w:sz w:val="24"/>
                <w:szCs w:val="24"/>
                <w:lang w:val="en-US"/>
              </w:rPr>
            </w:pPr>
            <w:r>
              <w:rPr>
                <w:rFonts w:ascii="Abadi" w:eastAsia="Calibri" w:hAnsi="Abadi" w:cs="Calibri"/>
                <w:color w:val="1A1A1A"/>
                <w:sz w:val="24"/>
                <w:szCs w:val="24"/>
                <w:lang w:val="en-US"/>
              </w:rPr>
              <w:t>The formalization of gold mining will depend on the transitional government's ability to dismantle the criminal networks that control the territory — a process that will take years, not months.</w:t>
            </w:r>
          </w:p>
        </w:tc>
      </w:tr>
      <w:tr w:rsidR="00DF147D" w:rsidRPr="00FF37C1" w14:paraId="5D3F45D7" w14:textId="77777777">
        <w:tblPrEx>
          <w:tblCellMar>
            <w:top w:w="0" w:type="dxa"/>
            <w:bottom w:w="0" w:type="dxa"/>
          </w:tblCellMar>
        </w:tblPrEx>
        <w:tc>
          <w:tcPr>
            <w:tcW w:w="10080" w:type="dxa"/>
            <w:tcBorders>
              <w:top w:val="none" w:sz="0" w:space="0" w:color="FFFFFF"/>
              <w:left w:val="none" w:sz="0" w:space="0" w:color="FFFFFF"/>
              <w:bottom w:val="none" w:sz="0" w:space="0" w:color="FFFFFF"/>
              <w:right w:val="none" w:sz="0" w:space="0" w:color="FFFFFF"/>
            </w:tcBorders>
            <w:shd w:val="clear" w:color="auto" w:fill="F5F5F5"/>
            <w:tcMar>
              <w:top w:w="40" w:type="dxa"/>
              <w:left w:w="200" w:type="dxa"/>
              <w:bottom w:w="40" w:type="dxa"/>
              <w:right w:w="160" w:type="dxa"/>
            </w:tcMar>
          </w:tcPr>
          <w:p w14:paraId="09996834" w14:textId="05736E78" w:rsidR="00DF147D" w:rsidRPr="0018255F" w:rsidRDefault="00000000" w:rsidP="0018255F">
            <w:pPr>
              <w:pStyle w:val="Prrafodelista"/>
              <w:numPr>
                <w:ilvl w:val="0"/>
                <w:numId w:val="5"/>
              </w:numPr>
              <w:ind w:right="-90"/>
              <w:jc w:val="both"/>
              <w:rPr>
                <w:rFonts w:ascii="Abadi" w:hAnsi="Abadi"/>
                <w:sz w:val="24"/>
                <w:szCs w:val="24"/>
                <w:lang w:val="en-US"/>
              </w:rPr>
            </w:pPr>
            <w:r>
              <w:rPr>
                <w:rFonts w:ascii="Abadi" w:eastAsia="Calibri" w:hAnsi="Abadi" w:cs="Calibri"/>
                <w:color w:val="1A1A1A"/>
                <w:sz w:val="24"/>
                <w:szCs w:val="24"/>
                <w:lang w:val="en-US"/>
              </w:rPr>
              <w:t xml:space="preserve">Venezuela began selling gold on its own account (MINERVEN) through intermediaries like Trafigura, generating foreign currency income under a scheme that international organizations have questioned for transparency.</w:t>
            </w:r>
          </w:p>
        </w:tc>
      </w:tr>
      <w:tr w:rsidR="00DF147D" w:rsidRPr="00FF37C1" w14:paraId="15AB4D72" w14:textId="77777777">
        <w:tblPrEx>
          <w:tblCellMar>
            <w:top w:w="0" w:type="dxa"/>
            <w:bottom w:w="0" w:type="dxa"/>
          </w:tblCellMar>
        </w:tblPrEx>
        <w:tc>
          <w:tcPr>
            <w:tcW w:w="10080" w:type="dxa"/>
            <w:tcBorders>
              <w:top w:val="none" w:sz="0" w:space="0" w:color="FFFFFF"/>
              <w:left w:val="none" w:sz="0" w:space="0" w:color="FFFFFF"/>
              <w:bottom w:val="none" w:sz="0" w:space="0" w:color="FFFFFF"/>
              <w:right w:val="none" w:sz="0" w:space="0" w:color="FFFFFF"/>
            </w:tcBorders>
            <w:shd w:val="clear" w:color="auto" w:fill="F5F5F5"/>
            <w:tcMar>
              <w:top w:w="40" w:type="dxa"/>
              <w:left w:w="200" w:type="dxa"/>
              <w:bottom w:w="40" w:type="dxa"/>
              <w:right w:w="160" w:type="dxa"/>
            </w:tcMar>
          </w:tcPr>
          <w:p w14:paraId="5F6736B9" w14:textId="1487FAE7" w:rsidR="00DF147D" w:rsidRPr="0018255F" w:rsidRDefault="00000000" w:rsidP="0018255F">
            <w:pPr>
              <w:pStyle w:val="Prrafodelista"/>
              <w:numPr>
                <w:ilvl w:val="0"/>
                <w:numId w:val="5"/>
              </w:numPr>
              <w:ind w:right="-90"/>
              <w:jc w:val="both"/>
              <w:rPr>
                <w:rFonts w:ascii="Abadi" w:hAnsi="Abadi"/>
                <w:sz w:val="24"/>
                <w:szCs w:val="24"/>
                <w:lang w:val="en-US"/>
              </w:rPr>
            </w:pPr>
            <w:r>
              <w:rPr>
                <w:rFonts w:ascii="Abadi" w:eastAsia="Calibri" w:hAnsi="Abadi" w:cs="Calibri"/>
                <w:color w:val="1A1A1A"/>
                <w:sz w:val="24"/>
                <w:szCs w:val="24"/>
                <w:lang w:val="en-US"/>
              </w:rPr>
              <w:t>Recommendation for investors: exploratory positioning and due diligence in 2026-2027, with capital commitments conditional on specific governance milestones.</w:t>
            </w:r>
          </w:p>
        </w:tc>
      </w:tr>
    </w:tbl>
    <w:p w14:paraId="67C6DA04" w14:textId="77777777" w:rsidR="00DF147D" w:rsidRDefault="00DF147D" w:rsidP="00A7547F">
      <w:pPr>
        <w:ind w:right="-90"/>
        <w:jc w:val="both"/>
        <w:rPr>
          <w:rFonts w:ascii="Abadi" w:hAnsi="Abadi"/>
          <w:sz w:val="24"/>
          <w:szCs w:val="24"/>
          <w:lang w:val="en-US"/>
        </w:rPr>
      </w:pPr>
    </w:p>
    <w:p w14:paraId="51560104" w14:textId="77777777" w:rsidR="00AA2B3C" w:rsidRPr="00FF37C1" w:rsidRDefault="00AA2B3C" w:rsidP="00A7547F">
      <w:pPr>
        <w:ind w:right="-90"/>
        <w:jc w:val="both"/>
        <w:rPr>
          <w:rFonts w:ascii="Abadi" w:hAnsi="Abadi"/>
          <w:sz w:val="24"/>
          <w:szCs w:val="24"/>
          <w:lang w:val="en-US"/>
        </w:rPr>
      </w:pPr>
    </w:p>
    <w:tbl>
      <w:tblPr>
        <w:tblW w:w="10080" w:type="dxa"/>
        <w:tblBorders>
          <w:top w:val="none" w:sz="0" w:space="0" w:color="FFFFFF"/>
          <w:left w:val="none" w:sz="0" w:space="0" w:color="FFFFFF"/>
          <w:bottom w:val="single" w:sz="12" w:space="0" w:color="CC0000"/>
          <w:right w:val="none" w:sz="0" w:space="0" w:color="FFFFFF"/>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80"/>
      </w:tblGrid>
      <w:tr w:rsidR="00DF147D" w:rsidRPr="00FF37C1" w14:paraId="5FB54DAE" w14:textId="77777777">
        <w:tblPrEx>
          <w:tblCellMar>
            <w:top w:w="0" w:type="dxa"/>
            <w:bottom w:w="0" w:type="dxa"/>
          </w:tblCellMar>
        </w:tblPrEx>
        <w:tc>
          <w:tcPr>
            <w:tcW w:w="10080" w:type="dxa"/>
            <w:tcBorders>
              <w:top w:val="none" w:sz="0" w:space="0" w:color="FFFFFF"/>
              <w:left w:val="none" w:sz="0" w:space="0" w:color="FFFFFF"/>
              <w:bottom w:val="none" w:sz="0" w:space="0" w:color="FFFFFF"/>
              <w:right w:val="none" w:sz="0" w:space="0" w:color="FFFFFF"/>
            </w:tcBorders>
            <w:shd w:val="clear" w:color="auto" w:fill="111E35"/>
            <w:tcMar>
              <w:top w:w="100" w:type="dxa"/>
              <w:left w:w="200" w:type="dxa"/>
              <w:bottom w:w="100" w:type="dxa"/>
              <w:right w:w="200" w:type="dxa"/>
            </w:tcMar>
          </w:tcPr>
          <w:p w14:paraId="52A6AFDB" w14:textId="77777777" w:rsidR="00DF147D" w:rsidRPr="00FF37C1" w:rsidRDefault="00000000" w:rsidP="00A7547F">
            <w:pPr>
              <w:ind w:right="-90"/>
              <w:jc w:val="both"/>
              <w:rPr>
                <w:rFonts w:ascii="Abadi" w:hAnsi="Abadi"/>
                <w:sz w:val="24"/>
                <w:szCs w:val="24"/>
                <w:lang w:val="en-US"/>
              </w:rPr>
            </w:pPr>
            <w:r>
              <w:rPr>
                <w:rFonts w:ascii="Abadi" w:eastAsia="Calibri" w:hAnsi="Abadi" w:cs="Calibri"/>
                <w:b/>
                <w:bCs/>
                <w:color w:val="FFFFFF"/>
                <w:sz w:val="24"/>
                <w:szCs w:val="24"/>
                <w:lang w:val="en-US"/>
              </w:rPr>
              <w:t>6.  ELECTRICITY SECTOR: THE PERSISTENT STRUCTURAL CRISIS</w:t>
            </w:r>
          </w:p>
        </w:tc>
      </w:tr>
    </w:tbl>
    <w:p w14:paraId="0DC3BC09" w14:textId="77777777" w:rsidR="0018255F" w:rsidRDefault="0018255F" w:rsidP="00A7547F">
      <w:pPr>
        <w:pBdr>
          <w:bottom w:val="single" w:sz="6" w:space="0" w:color="CC0000"/>
        </w:pBdr>
        <w:ind w:right="-90"/>
        <w:jc w:val="both"/>
        <w:rPr>
          <w:rFonts w:ascii="Abadi" w:eastAsia="Calibri" w:hAnsi="Abadi" w:cs="Calibri"/>
          <w:b/>
          <w:bCs/>
          <w:color w:val="1A1A1A"/>
          <w:sz w:val="24"/>
          <w:szCs w:val="24"/>
          <w:lang w:val="en-US"/>
        </w:rPr>
      </w:pPr>
    </w:p>
    <w:p w14:paraId="49720658" w14:textId="3FB13ED1" w:rsidR="00DF147D" w:rsidRPr="00FF37C1" w:rsidRDefault="00000000" w:rsidP="00A7547F">
      <w:pPr>
        <w:pBdr>
          <w:bottom w:val="single" w:sz="6" w:space="0" w:color="CC0000"/>
        </w:pBdr>
        <w:ind w:right="-90"/>
        <w:jc w:val="both"/>
        <w:rPr>
          <w:rFonts w:ascii="Abadi" w:hAnsi="Abadi"/>
          <w:sz w:val="24"/>
          <w:szCs w:val="24"/>
          <w:lang w:val="en-US"/>
        </w:rPr>
      </w:pPr>
      <w:r>
        <w:rPr>
          <w:rFonts w:ascii="Abadi" w:eastAsia="Calibri" w:hAnsi="Abadi" w:cs="Calibri"/>
          <w:b/>
          <w:bCs/>
          <w:color w:val="1A1A1A"/>
          <w:sz w:val="24"/>
          <w:szCs w:val="24"/>
          <w:lang w:val="en-US"/>
        </w:rPr>
        <w:t>6.1  Diagnosis of the National Electricity System</w:t>
      </w:r>
    </w:p>
    <w:p w14:paraId="17A37ECA" w14:textId="77777777" w:rsidR="0018255F" w:rsidRDefault="0018255F" w:rsidP="00A7547F">
      <w:pPr>
        <w:ind w:right="-90" w:firstLine="720"/>
        <w:jc w:val="both"/>
        <w:rPr>
          <w:rFonts w:ascii="Abadi" w:eastAsia="Calibri" w:hAnsi="Abadi" w:cs="Calibri"/>
          <w:color w:val="1A1A1A"/>
          <w:sz w:val="24"/>
          <w:szCs w:val="24"/>
          <w:lang w:val="en-US"/>
        </w:rPr>
      </w:pPr>
    </w:p>
    <w:p w14:paraId="366A3AA8" w14:textId="29114C29" w:rsidR="00DF147D" w:rsidRDefault="00000000" w:rsidP="00A7547F">
      <w:pPr>
        <w:ind w:right="-90" w:firstLine="720"/>
        <w:jc w:val="both"/>
        <w:rPr>
          <w:rFonts w:ascii="Abadi" w:eastAsia="Calibri" w:hAnsi="Abadi" w:cs="Calibri"/>
          <w:color w:val="1A1A1A"/>
          <w:sz w:val="24"/>
          <w:szCs w:val="24"/>
          <w:lang w:val="en-US"/>
        </w:rPr>
      </w:pPr>
      <w:r>
        <w:rPr>
          <w:rFonts w:ascii="Abadi" w:eastAsia="Calibri" w:hAnsi="Abadi" w:cs="Calibri"/>
          <w:color w:val="1A1A1A"/>
          <w:sz w:val="24"/>
          <w:szCs w:val="24"/>
          <w:lang w:val="en-US"/>
        </w:rPr>
        <w:t>Venezuela's National Electricity System (SEN) constitutes one of the most critical bottlenecks for economic development and investment attraction. The theoretical installed capacity exceeds 30,000 MW (hydro + thermal), but the effectively available capacity is around 15,000-17,000 MW, with serious dispatch, transmission, and distribution problems.</w:t>
      </w:r>
    </w:p>
    <w:p w14:paraId="20318D45" w14:textId="77777777" w:rsidR="0018255F" w:rsidRPr="00FF37C1" w:rsidRDefault="0018255F" w:rsidP="00A7547F">
      <w:pPr>
        <w:ind w:right="-90" w:firstLine="720"/>
        <w:jc w:val="both"/>
        <w:rPr>
          <w:rFonts w:ascii="Abadi" w:hAnsi="Abadi"/>
          <w:sz w:val="24"/>
          <w:szCs w:val="24"/>
          <w:lang w:val="en-US"/>
        </w:rPr>
      </w:pPr>
    </w:p>
    <w:p w14:paraId="24590CF5" w14:textId="114E8640" w:rsidR="00DF147D" w:rsidRDefault="00000000" w:rsidP="00A7547F">
      <w:pPr>
        <w:ind w:right="-90" w:firstLine="720"/>
        <w:jc w:val="both"/>
        <w:rPr>
          <w:rFonts w:ascii="Abadi" w:eastAsia="Calibri" w:hAnsi="Abadi" w:cs="Calibri"/>
          <w:color w:val="1A1A1A"/>
          <w:sz w:val="24"/>
          <w:szCs w:val="24"/>
          <w:lang w:val="en-US"/>
        </w:rPr>
      </w:pPr>
      <w:r>
        <w:rPr>
          <w:rFonts w:ascii="Abadi" w:eastAsia="Calibri" w:hAnsi="Abadi" w:cs="Calibri"/>
          <w:color w:val="1A1A1A"/>
          <w:sz w:val="24"/>
          <w:szCs w:val="24"/>
          <w:lang w:val="en-US"/>
        </w:rPr>
        <w:t>Venezuela suffers chronic electricity blackouts affecting all 24 of its states, with Zulia as the epicenter (99% of households report frequent outages according to 2025 opinion surveys). The crisis deepened in 2024 with the impact of the El Niño Phenomenon on the water levels of Guri reservoir, the country's largest hydroelectric dam, which generates ~70% of national electricity.</w:t>
      </w:r>
    </w:p>
    <w:p w14:paraId="448C22E2" w14:textId="77777777" w:rsidR="0018255F" w:rsidRPr="00FF37C1" w:rsidRDefault="0018255F" w:rsidP="00A7547F">
      <w:pPr>
        <w:ind w:right="-90" w:firstLine="720"/>
        <w:jc w:val="both"/>
        <w:rPr>
          <w:rFonts w:ascii="Abadi" w:hAnsi="Abadi"/>
          <w:sz w:val="24"/>
          <w:szCs w:val="24"/>
          <w:lang w:val="en-US"/>
        </w:rPr>
      </w:pPr>
    </w:p>
    <w:tbl>
      <w:tblPr>
        <w:tblW w:w="10165" w:type="dxa"/>
        <w:tblBorders>
          <w:top w:val="single" w:sz="4" w:space="0" w:color="999999"/>
          <w:left w:val="single" w:sz="4" w:space="0" w:color="999999"/>
          <w:bottom w:val="single" w:sz="4" w:space="0" w:color="999999"/>
          <w:right w:val="single" w:sz="4" w:space="0" w:color="999999"/>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360"/>
        <w:gridCol w:w="3360"/>
        <w:gridCol w:w="3445"/>
      </w:tblGrid>
      <w:tr w:rsidR="00DF147D" w:rsidRPr="0018255F" w14:paraId="7B8D9215" w14:textId="77777777" w:rsidTr="0018255F">
        <w:tblPrEx>
          <w:tblCellMar>
            <w:top w:w="0" w:type="dxa"/>
            <w:bottom w:w="0" w:type="dxa"/>
          </w:tblCellMar>
        </w:tblPrEx>
        <w:tc>
          <w:tcPr>
            <w:tcW w:w="3360"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0752E940" w14:textId="77777777" w:rsidR="00DF147D" w:rsidRPr="0018255F" w:rsidRDefault="00000000" w:rsidP="0018255F">
            <w:pPr>
              <w:ind w:right="-90"/>
              <w:jc w:val="center"/>
              <w:rPr>
                <w:rFonts w:ascii="Abadi" w:hAnsi="Abadi"/>
                <w:sz w:val="22"/>
                <w:szCs w:val="22"/>
                <w:lang w:val="en-US"/>
              </w:rPr>
            </w:pPr>
            <w:r>
              <w:rPr>
                <w:rFonts w:ascii="Abadi" w:eastAsia="Calibri" w:hAnsi="Abadi" w:cs="Calibri"/>
                <w:b/>
                <w:bCs/>
                <w:color w:val="FFFFFF"/>
                <w:sz w:val="22"/>
                <w:szCs w:val="22"/>
                <w:lang w:val="en-US"/>
              </w:rPr>
              <w:t>Indicator</w:t>
            </w:r>
          </w:p>
        </w:tc>
        <w:tc>
          <w:tcPr>
            <w:tcW w:w="3360"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12CAF25A" w14:textId="77777777" w:rsidR="00DF147D" w:rsidRPr="0018255F" w:rsidRDefault="00000000" w:rsidP="0018255F">
            <w:pPr>
              <w:ind w:right="-90"/>
              <w:jc w:val="center"/>
              <w:rPr>
                <w:rFonts w:ascii="Abadi" w:hAnsi="Abadi"/>
                <w:sz w:val="22"/>
                <w:szCs w:val="22"/>
                <w:lang w:val="en-US"/>
              </w:rPr>
            </w:pPr>
            <w:r>
              <w:rPr>
                <w:rFonts w:ascii="Abadi" w:eastAsia="Calibri" w:hAnsi="Abadi" w:cs="Calibri"/>
                <w:b/>
                <w:bCs/>
                <w:color w:val="FFFFFF"/>
                <w:sz w:val="22"/>
                <w:szCs w:val="22"/>
                <w:lang w:val="en-US"/>
              </w:rPr>
              <w:t>Value / Status (2024-2026)</w:t>
            </w:r>
          </w:p>
        </w:tc>
        <w:tc>
          <w:tcPr>
            <w:tcW w:w="3445"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0EC01FB8" w14:textId="77777777" w:rsidR="00DF147D" w:rsidRPr="0018255F" w:rsidRDefault="00000000" w:rsidP="0018255F">
            <w:pPr>
              <w:ind w:right="-90"/>
              <w:jc w:val="center"/>
              <w:rPr>
                <w:rFonts w:ascii="Abadi" w:hAnsi="Abadi"/>
                <w:sz w:val="22"/>
                <w:szCs w:val="22"/>
                <w:lang w:val="en-US"/>
              </w:rPr>
            </w:pPr>
            <w:r>
              <w:rPr>
                <w:rFonts w:ascii="Abadi" w:eastAsia="Calibri" w:hAnsi="Abadi" w:cs="Calibri"/>
                <w:b/>
                <w:bCs/>
                <w:color w:val="FFFFFF"/>
                <w:sz w:val="22"/>
                <w:szCs w:val="22"/>
                <w:lang w:val="en-US"/>
              </w:rPr>
              <w:t>Source</w:t>
            </w:r>
          </w:p>
        </w:tc>
      </w:tr>
      <w:tr w:rsidR="00DF147D" w:rsidRPr="0018255F" w14:paraId="6A2A4C2B" w14:textId="77777777" w:rsidTr="0018255F">
        <w:tblPrEx>
          <w:tblCellMar>
            <w:top w:w="0" w:type="dxa"/>
            <w:bottom w:w="0" w:type="dxa"/>
          </w:tblCellMar>
        </w:tblPrEx>
        <w:tc>
          <w:tcPr>
            <w:tcW w:w="336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012A3155"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Installed capacity (theoretical)</w:t>
            </w:r>
          </w:p>
        </w:tc>
        <w:tc>
          <w:tcPr>
            <w:tcW w:w="336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4AB34D8A"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~30,000 MW</w:t>
            </w:r>
          </w:p>
        </w:tc>
        <w:tc>
          <w:tcPr>
            <w:tcW w:w="3445"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5BB281CC"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CORPOELEC / MEM</w:t>
            </w:r>
          </w:p>
        </w:tc>
      </w:tr>
      <w:tr w:rsidR="00DF147D" w:rsidRPr="0018255F" w14:paraId="4D17CEF3" w14:textId="77777777" w:rsidTr="0018255F">
        <w:tblPrEx>
          <w:tblCellMar>
            <w:top w:w="0" w:type="dxa"/>
            <w:bottom w:w="0" w:type="dxa"/>
          </w:tblCellMar>
        </w:tblPrEx>
        <w:tc>
          <w:tcPr>
            <w:tcW w:w="336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73B8FE63"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lastRenderedPageBreak/>
              <w:t>Effective available capacity</w:t>
            </w:r>
          </w:p>
        </w:tc>
        <w:tc>
          <w:tcPr>
            <w:tcW w:w="336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1B0403F8"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~15,000-17,000 MW</w:t>
            </w:r>
          </w:p>
        </w:tc>
        <w:tc>
          <w:tcPr>
            <w:tcW w:w="3445"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0418F912"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Analyst estimates</w:t>
            </w:r>
          </w:p>
        </w:tc>
      </w:tr>
      <w:tr w:rsidR="00DF147D" w:rsidRPr="0018255F" w14:paraId="4145468E" w14:textId="77777777" w:rsidTr="0018255F">
        <w:tblPrEx>
          <w:tblCellMar>
            <w:top w:w="0" w:type="dxa"/>
            <w:bottom w:w="0" w:type="dxa"/>
          </w:tblCellMar>
        </w:tblPrEx>
        <w:tc>
          <w:tcPr>
            <w:tcW w:w="336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256B2EF3"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Transmission/distribution losses</w:t>
            </w:r>
          </w:p>
        </w:tc>
        <w:tc>
          <w:tcPr>
            <w:tcW w:w="336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1BF4DE9F"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~35-40% (estimado)</w:t>
            </w:r>
          </w:p>
        </w:tc>
        <w:tc>
          <w:tcPr>
            <w:tcW w:w="3445"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1C0D3209"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IESA, Ecoanalítica</w:t>
            </w:r>
          </w:p>
        </w:tc>
      </w:tr>
      <w:tr w:rsidR="00DF147D" w:rsidRPr="0018255F" w14:paraId="58CE5C7D" w14:textId="77777777" w:rsidTr="0018255F">
        <w:tblPrEx>
          <w:tblCellMar>
            <w:top w:w="0" w:type="dxa"/>
            <w:bottom w:w="0" w:type="dxa"/>
          </w:tblCellMar>
        </w:tblPrEx>
        <w:tc>
          <w:tcPr>
            <w:tcW w:w="336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19B093C6"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Households with frequent outages (Zulia)</w:t>
            </w:r>
          </w:p>
        </w:tc>
        <w:tc>
          <w:tcPr>
            <w:tcW w:w="336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2621D2C5"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~99%</w:t>
            </w:r>
          </w:p>
        </w:tc>
        <w:tc>
          <w:tcPr>
            <w:tcW w:w="3445"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7A9FA01C"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Portafolio.co, 2025</w:t>
            </w:r>
          </w:p>
        </w:tc>
      </w:tr>
      <w:tr w:rsidR="00DF147D" w:rsidRPr="0018255F" w14:paraId="255A2209" w14:textId="77777777" w:rsidTr="0018255F">
        <w:tblPrEx>
          <w:tblCellMar>
            <w:top w:w="0" w:type="dxa"/>
            <w:bottom w:w="0" w:type="dxa"/>
          </w:tblCellMar>
        </w:tblPrEx>
        <w:tc>
          <w:tcPr>
            <w:tcW w:w="336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7FBF0D3C"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States reporting blackouts</w:t>
            </w:r>
          </w:p>
        </w:tc>
        <w:tc>
          <w:tcPr>
            <w:tcW w:w="336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5F6BB13A"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20 of 24</w:t>
            </w:r>
          </w:p>
        </w:tc>
        <w:tc>
          <w:tcPr>
            <w:tcW w:w="3445"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417AF6C8"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Diario de Cuyo, 2025</w:t>
            </w:r>
          </w:p>
        </w:tc>
      </w:tr>
      <w:tr w:rsidR="00DF147D" w:rsidRPr="0018255F" w14:paraId="2096A12B" w14:textId="77777777" w:rsidTr="0018255F">
        <w:tblPrEx>
          <w:tblCellMar>
            <w:top w:w="0" w:type="dxa"/>
            <w:bottom w:w="0" w:type="dxa"/>
          </w:tblCellMar>
        </w:tblPrEx>
        <w:tc>
          <w:tcPr>
            <w:tcW w:w="336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0DD882C6"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Guri Reservoir (historic minimum level)</w:t>
            </w:r>
          </w:p>
        </w:tc>
        <w:tc>
          <w:tcPr>
            <w:tcW w:w="336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461D8EB1"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Reached in 2024</w:t>
            </w:r>
          </w:p>
        </w:tc>
        <w:tc>
          <w:tcPr>
            <w:tcW w:w="3445"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76F7EEF2"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Corpoelec / analysts</w:t>
            </w:r>
          </w:p>
        </w:tc>
      </w:tr>
    </w:tbl>
    <w:p w14:paraId="4DB1ADC9" w14:textId="77777777" w:rsidR="00DF147D" w:rsidRPr="00FF37C1" w:rsidRDefault="00DF147D" w:rsidP="00A7547F">
      <w:pPr>
        <w:ind w:right="-90"/>
        <w:jc w:val="both"/>
        <w:rPr>
          <w:rFonts w:ascii="Abadi" w:hAnsi="Abadi"/>
          <w:sz w:val="24"/>
          <w:szCs w:val="24"/>
        </w:rPr>
      </w:pPr>
    </w:p>
    <w:p w14:paraId="3464D694" w14:textId="77777777" w:rsidR="00DF147D" w:rsidRPr="0018255F" w:rsidRDefault="00000000" w:rsidP="00A7547F">
      <w:pPr>
        <w:pBdr>
          <w:bottom w:val="single" w:sz="6" w:space="0" w:color="CC0000"/>
        </w:pBdr>
        <w:ind w:right="-90"/>
        <w:jc w:val="both"/>
        <w:rPr>
          <w:rFonts w:ascii="Abadi" w:hAnsi="Abadi"/>
          <w:sz w:val="24"/>
          <w:szCs w:val="24"/>
          <w:lang w:val="en-US"/>
        </w:rPr>
      </w:pPr>
      <w:r>
        <w:rPr>
          <w:rFonts w:ascii="Abadi" w:eastAsia="Calibri" w:hAnsi="Abadi" w:cs="Calibri"/>
          <w:b/>
          <w:bCs/>
          <w:color w:val="1A1A1A"/>
          <w:sz w:val="24"/>
          <w:szCs w:val="24"/>
          <w:lang w:val="en-US"/>
        </w:rPr>
        <w:t>6.2  Required Investment and Opportunities</w:t>
      </w:r>
    </w:p>
    <w:p w14:paraId="08A078BC" w14:textId="77777777" w:rsidR="0018255F" w:rsidRPr="0018255F" w:rsidRDefault="0018255F" w:rsidP="00A7547F">
      <w:pPr>
        <w:ind w:right="-90" w:firstLine="720"/>
        <w:jc w:val="both"/>
        <w:rPr>
          <w:rFonts w:ascii="Abadi" w:eastAsia="Calibri" w:hAnsi="Abadi" w:cs="Calibri"/>
          <w:color w:val="1A1A1A"/>
          <w:sz w:val="24"/>
          <w:szCs w:val="24"/>
          <w:lang w:val="en-US"/>
        </w:rPr>
      </w:pPr>
    </w:p>
    <w:p w14:paraId="1B88CE73" w14:textId="40E0BC31" w:rsidR="00DF147D" w:rsidRPr="00FF37C1" w:rsidRDefault="00000000" w:rsidP="00A7547F">
      <w:pPr>
        <w:ind w:right="-90" w:firstLine="720"/>
        <w:jc w:val="both"/>
        <w:rPr>
          <w:rFonts w:ascii="Abadi" w:hAnsi="Abadi"/>
          <w:sz w:val="24"/>
          <w:szCs w:val="24"/>
          <w:lang w:val="en-US"/>
        </w:rPr>
      </w:pPr>
      <w:r>
        <w:rPr>
          <w:rFonts w:ascii="Abadi" w:eastAsia="Calibri" w:hAnsi="Abadi" w:cs="Calibri"/>
          <w:color w:val="1A1A1A"/>
          <w:sz w:val="24"/>
          <w:szCs w:val="24"/>
          <w:lang w:val="en-US"/>
        </w:rPr>
        <w:t xml:space="preserve">Rehabilitation of the SEN requires an estimated investment of between USD $10 billion and $20 billion over 10 years, according to industry estimates (OLADE, 2024). Priority areas include: thermal generation rehabilitation (Planta Centro, Termozulia, Ramón Laguna plants), the modernization of the 765 kV and 400 kV transmission network, and investment in distributed renewable generation (solar, wind) to reduce dependence on the centralized Guri system.</w:t>
      </w:r>
    </w:p>
    <w:p w14:paraId="6A64CDB8" w14:textId="77777777" w:rsidR="00DF147D" w:rsidRPr="00FF37C1" w:rsidRDefault="00000000" w:rsidP="00A7547F">
      <w:pPr>
        <w:ind w:right="-90" w:firstLine="720"/>
        <w:jc w:val="both"/>
        <w:rPr>
          <w:rFonts w:ascii="Abadi" w:hAnsi="Abadi"/>
          <w:sz w:val="24"/>
          <w:szCs w:val="24"/>
          <w:lang w:val="en-US"/>
        </w:rPr>
      </w:pPr>
      <w:r>
        <w:rPr>
          <w:rFonts w:ascii="Abadi" w:eastAsia="Calibri" w:hAnsi="Abadi" w:cs="Calibri"/>
          <w:color w:val="1A1A1A"/>
          <w:sz w:val="24"/>
          <w:szCs w:val="24"/>
          <w:lang w:val="en-US"/>
        </w:rPr>
        <w:t>The transitional government has identified electrification as a top priority, including in negotiations with the U.S. and the IDB components of technical cooperation for electrical rehabilitation. Private sector participation under concession or PPP (Public-Private Partnership Public-Private Partnerships) is considered indispensable given the Venezuelan State's limited access to international financing.</w:t>
      </w:r>
    </w:p>
    <w:p w14:paraId="3834F1AC" w14:textId="77777777" w:rsidR="00DF147D" w:rsidRPr="00FF37C1" w:rsidRDefault="00DF147D" w:rsidP="00A7547F">
      <w:pPr>
        <w:ind w:right="-90"/>
        <w:jc w:val="both"/>
        <w:rPr>
          <w:rFonts w:ascii="Abadi" w:hAnsi="Abadi"/>
          <w:sz w:val="24"/>
          <w:szCs w:val="24"/>
          <w:lang w:val="en-US"/>
        </w:rPr>
      </w:pPr>
    </w:p>
    <w:tbl>
      <w:tblPr>
        <w:tblW w:w="10170" w:type="dxa"/>
        <w:tblBorders>
          <w:top w:val="none" w:sz="0" w:space="0" w:color="FFFFFF"/>
          <w:left w:val="none" w:sz="0" w:space="0" w:color="FFFFFF"/>
          <w:bottom w:val="single" w:sz="12" w:space="0" w:color="CC0000"/>
          <w:right w:val="none" w:sz="0" w:space="0" w:color="FFFFFF"/>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170"/>
      </w:tblGrid>
      <w:tr w:rsidR="00DF147D" w:rsidRPr="00FF37C1" w14:paraId="398244C8" w14:textId="77777777" w:rsidTr="0018255F">
        <w:tblPrEx>
          <w:tblCellMar>
            <w:top w:w="0" w:type="dxa"/>
            <w:bottom w:w="0" w:type="dxa"/>
          </w:tblCellMar>
        </w:tblPrEx>
        <w:tc>
          <w:tcPr>
            <w:tcW w:w="10170" w:type="dxa"/>
            <w:tcBorders>
              <w:top w:val="none" w:sz="0" w:space="0" w:color="FFFFFF"/>
              <w:left w:val="none" w:sz="0" w:space="0" w:color="FFFFFF"/>
              <w:bottom w:val="none" w:sz="0" w:space="0" w:color="FFFFFF"/>
              <w:right w:val="none" w:sz="0" w:space="0" w:color="FFFFFF"/>
            </w:tcBorders>
            <w:shd w:val="clear" w:color="auto" w:fill="111E35"/>
            <w:tcMar>
              <w:top w:w="100" w:type="dxa"/>
              <w:left w:w="200" w:type="dxa"/>
              <w:bottom w:w="100" w:type="dxa"/>
              <w:right w:w="200" w:type="dxa"/>
            </w:tcMar>
          </w:tcPr>
          <w:p w14:paraId="6228278D" w14:textId="77777777" w:rsidR="00DF147D" w:rsidRPr="00FF37C1" w:rsidRDefault="00000000" w:rsidP="00A7547F">
            <w:pPr>
              <w:ind w:right="-90"/>
              <w:jc w:val="both"/>
              <w:rPr>
                <w:rFonts w:ascii="Abadi" w:hAnsi="Abadi"/>
                <w:sz w:val="24"/>
                <w:szCs w:val="24"/>
                <w:lang w:val="en-US"/>
              </w:rPr>
            </w:pPr>
            <w:r>
              <w:rPr>
                <w:rFonts w:ascii="Abadi" w:eastAsia="Calibri" w:hAnsi="Abadi" w:cs="Calibri"/>
                <w:b/>
                <w:bCs/>
                <w:color w:val="FFFFFF"/>
                <w:sz w:val="24"/>
                <w:szCs w:val="24"/>
                <w:lang w:val="en-US"/>
              </w:rPr>
              <w:t>7.  MACROECONOMICS: FRAGILE RECOVERY AND DE FACTO DOLLARIZATION</w:t>
            </w:r>
          </w:p>
        </w:tc>
      </w:tr>
    </w:tbl>
    <w:p w14:paraId="4752E068" w14:textId="77777777" w:rsidR="0018255F" w:rsidRDefault="0018255F" w:rsidP="00A7547F">
      <w:pPr>
        <w:pBdr>
          <w:bottom w:val="single" w:sz="6" w:space="0" w:color="CC0000"/>
        </w:pBdr>
        <w:ind w:right="-90"/>
        <w:jc w:val="both"/>
        <w:rPr>
          <w:rFonts w:ascii="Abadi" w:eastAsia="Calibri" w:hAnsi="Abadi" w:cs="Calibri"/>
          <w:b/>
          <w:bCs/>
          <w:color w:val="1A1A1A"/>
          <w:sz w:val="24"/>
          <w:szCs w:val="24"/>
          <w:lang w:val="en-US"/>
        </w:rPr>
      </w:pPr>
    </w:p>
    <w:p w14:paraId="55959076" w14:textId="74CBBE5D" w:rsidR="00DF147D" w:rsidRPr="00FF37C1" w:rsidRDefault="00000000" w:rsidP="00A7547F">
      <w:pPr>
        <w:pBdr>
          <w:bottom w:val="single" w:sz="6" w:space="0" w:color="CC0000"/>
        </w:pBdr>
        <w:ind w:right="-90"/>
        <w:jc w:val="both"/>
        <w:rPr>
          <w:rFonts w:ascii="Abadi" w:hAnsi="Abadi"/>
          <w:sz w:val="24"/>
          <w:szCs w:val="24"/>
          <w:lang w:val="en-US"/>
        </w:rPr>
      </w:pPr>
      <w:r>
        <w:rPr>
          <w:rFonts w:ascii="Abadi" w:eastAsia="Calibri" w:hAnsi="Abadi" w:cs="Calibri"/>
          <w:b/>
          <w:bCs/>
          <w:color w:val="1A1A1A"/>
          <w:sz w:val="24"/>
          <w:szCs w:val="24"/>
          <w:lang w:val="en-US"/>
        </w:rPr>
        <w:t>7.1  Key Macroeconomic Indicators</w:t>
      </w:r>
    </w:p>
    <w:p w14:paraId="4081F341" w14:textId="77777777" w:rsidR="0018255F" w:rsidRDefault="0018255F" w:rsidP="00A7547F">
      <w:pPr>
        <w:ind w:right="-90" w:firstLine="720"/>
        <w:jc w:val="both"/>
        <w:rPr>
          <w:rFonts w:ascii="Abadi" w:eastAsia="Calibri" w:hAnsi="Abadi" w:cs="Calibri"/>
          <w:color w:val="1A1A1A"/>
          <w:sz w:val="24"/>
          <w:szCs w:val="24"/>
          <w:lang w:val="en-US"/>
        </w:rPr>
      </w:pPr>
    </w:p>
    <w:p w14:paraId="65D3D69B" w14:textId="5EECE109" w:rsidR="00DF147D" w:rsidRDefault="00000000" w:rsidP="00A7547F">
      <w:pPr>
        <w:ind w:right="-90" w:firstLine="720"/>
        <w:jc w:val="both"/>
        <w:rPr>
          <w:rFonts w:ascii="Abadi" w:eastAsia="Calibri" w:hAnsi="Abadi" w:cs="Calibri"/>
          <w:color w:val="1A1A1A"/>
          <w:sz w:val="24"/>
          <w:szCs w:val="24"/>
          <w:lang w:val="en-US"/>
        </w:rPr>
      </w:pPr>
      <w:r>
        <w:rPr>
          <w:rFonts w:ascii="Abadi" w:eastAsia="Calibri" w:hAnsi="Abadi" w:cs="Calibri"/>
          <w:color w:val="1A1A1A"/>
          <w:sz w:val="24"/>
          <w:szCs w:val="24"/>
          <w:lang w:val="en-US"/>
        </w:rPr>
        <w:t>The Venezuelan economy has recorded positive growth since 2021, after the most severe accumulated contraction in Latin America in peacetime: between 2013 and 2020, Venezuela's GDP contracted approximately 75% in real terms. The recovery has been driven primarily by the oil sector, mining, and informal dollarized trade.</w:t>
      </w:r>
    </w:p>
    <w:p w14:paraId="7F2238E0" w14:textId="77777777" w:rsidR="0018255F" w:rsidRPr="00FF37C1" w:rsidRDefault="0018255F" w:rsidP="00A7547F">
      <w:pPr>
        <w:ind w:right="-90" w:firstLine="720"/>
        <w:jc w:val="both"/>
        <w:rPr>
          <w:rFonts w:ascii="Abadi" w:hAnsi="Abadi"/>
          <w:sz w:val="24"/>
          <w:szCs w:val="24"/>
          <w:lang w:val="en-US"/>
        </w:rPr>
      </w:pPr>
    </w:p>
    <w:tbl>
      <w:tblPr>
        <w:tblW w:w="10165" w:type="dxa"/>
        <w:tblBorders>
          <w:top w:val="single" w:sz="4" w:space="0" w:color="999999"/>
          <w:left w:val="single" w:sz="4" w:space="0" w:color="999999"/>
          <w:bottom w:val="single" w:sz="4" w:space="0" w:color="999999"/>
          <w:right w:val="single" w:sz="4" w:space="0" w:color="999999"/>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880"/>
        <w:gridCol w:w="1344"/>
        <w:gridCol w:w="1680"/>
        <w:gridCol w:w="1680"/>
        <w:gridCol w:w="2581"/>
      </w:tblGrid>
      <w:tr w:rsidR="00DF147D" w:rsidRPr="0018255F" w14:paraId="195A3D99" w14:textId="77777777" w:rsidTr="0018255F">
        <w:tblPrEx>
          <w:tblCellMar>
            <w:top w:w="0" w:type="dxa"/>
            <w:bottom w:w="0" w:type="dxa"/>
          </w:tblCellMar>
        </w:tblPrEx>
        <w:tc>
          <w:tcPr>
            <w:tcW w:w="2880"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0ADCED0D" w14:textId="77777777" w:rsidR="00DF147D" w:rsidRPr="0018255F" w:rsidRDefault="00000000" w:rsidP="0018255F">
            <w:pPr>
              <w:ind w:right="-90"/>
              <w:jc w:val="center"/>
              <w:rPr>
                <w:rFonts w:ascii="Abadi" w:hAnsi="Abadi"/>
                <w:lang w:val="en-US"/>
              </w:rPr>
            </w:pPr>
            <w:r>
              <w:rPr>
                <w:rFonts w:ascii="Abadi" w:eastAsia="Calibri" w:hAnsi="Abadi" w:cs="Calibri"/>
                <w:b/>
                <w:bCs/>
                <w:color w:val="FFFFFF"/>
                <w:lang w:val="en-US"/>
              </w:rPr>
              <w:t>Indicator</w:t>
            </w:r>
          </w:p>
        </w:tc>
        <w:tc>
          <w:tcPr>
            <w:tcW w:w="1344"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587EBF0C" w14:textId="77777777" w:rsidR="00DF147D" w:rsidRPr="0018255F" w:rsidRDefault="00000000" w:rsidP="0018255F">
            <w:pPr>
              <w:ind w:right="-90"/>
              <w:jc w:val="center"/>
              <w:rPr>
                <w:rFonts w:ascii="Abadi" w:hAnsi="Abadi"/>
                <w:lang w:val="en-US"/>
              </w:rPr>
            </w:pPr>
            <w:r>
              <w:rPr>
                <w:rFonts w:ascii="Abadi" w:eastAsia="Calibri" w:hAnsi="Abadi" w:cs="Calibri"/>
                <w:b/>
                <w:bCs/>
                <w:color w:val="FFFFFF"/>
                <w:lang w:val="en-US"/>
              </w:rPr>
              <w:t>2023</w:t>
            </w:r>
          </w:p>
        </w:tc>
        <w:tc>
          <w:tcPr>
            <w:tcW w:w="1680"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11741976" w14:textId="77777777" w:rsidR="00DF147D" w:rsidRPr="0018255F" w:rsidRDefault="00000000" w:rsidP="0018255F">
            <w:pPr>
              <w:ind w:right="-90"/>
              <w:jc w:val="center"/>
              <w:rPr>
                <w:rFonts w:ascii="Abadi" w:hAnsi="Abadi"/>
                <w:lang w:val="en-US"/>
              </w:rPr>
            </w:pPr>
            <w:r>
              <w:rPr>
                <w:rFonts w:ascii="Abadi" w:eastAsia="Calibri" w:hAnsi="Abadi" w:cs="Calibri"/>
                <w:b/>
                <w:bCs/>
                <w:color w:val="FFFFFF"/>
                <w:lang w:val="en-US"/>
              </w:rPr>
              <w:t>2024 (est.)</w:t>
            </w:r>
          </w:p>
        </w:tc>
        <w:tc>
          <w:tcPr>
            <w:tcW w:w="1680"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2E017F23" w14:textId="77777777" w:rsidR="00DF147D" w:rsidRPr="0018255F" w:rsidRDefault="00000000" w:rsidP="0018255F">
            <w:pPr>
              <w:ind w:right="-90"/>
              <w:jc w:val="center"/>
              <w:rPr>
                <w:rFonts w:ascii="Abadi" w:hAnsi="Abadi"/>
                <w:lang w:val="en-US"/>
              </w:rPr>
            </w:pPr>
            <w:r>
              <w:rPr>
                <w:rFonts w:ascii="Abadi" w:eastAsia="Calibri" w:hAnsi="Abadi" w:cs="Calibri"/>
                <w:b/>
                <w:bCs/>
                <w:color w:val="FFFFFF"/>
                <w:lang w:val="en-US"/>
              </w:rPr>
              <w:t>2025 (proy.)</w:t>
            </w:r>
          </w:p>
        </w:tc>
        <w:tc>
          <w:tcPr>
            <w:tcW w:w="2581"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0A772F32" w14:textId="77777777" w:rsidR="00DF147D" w:rsidRPr="0018255F" w:rsidRDefault="00000000" w:rsidP="0018255F">
            <w:pPr>
              <w:ind w:right="-90"/>
              <w:jc w:val="center"/>
              <w:rPr>
                <w:rFonts w:ascii="Abadi" w:hAnsi="Abadi"/>
                <w:lang w:val="en-US"/>
              </w:rPr>
            </w:pPr>
            <w:r>
              <w:rPr>
                <w:rFonts w:ascii="Abadi" w:eastAsia="Calibri" w:hAnsi="Abadi" w:cs="Calibri"/>
                <w:b/>
                <w:bCs/>
                <w:color w:val="FFFFFF"/>
                <w:lang w:val="en-US"/>
              </w:rPr>
              <w:t>Source</w:t>
            </w:r>
          </w:p>
        </w:tc>
      </w:tr>
      <w:tr w:rsidR="00DF147D" w:rsidRPr="0018255F" w14:paraId="24FE6DBF" w14:textId="77777777" w:rsidTr="0018255F">
        <w:tblPrEx>
          <w:tblCellMar>
            <w:top w:w="0" w:type="dxa"/>
            <w:bottom w:w="0" w:type="dxa"/>
          </w:tblCellMar>
        </w:tblPrEx>
        <w:tc>
          <w:tcPr>
            <w:tcW w:w="28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35F9E568" w14:textId="77777777" w:rsidR="00DF147D" w:rsidRPr="0018255F" w:rsidRDefault="00000000" w:rsidP="0018255F">
            <w:pPr>
              <w:ind w:right="-90"/>
              <w:jc w:val="center"/>
              <w:rPr>
                <w:rFonts w:ascii="Abadi" w:hAnsi="Abadi"/>
                <w:lang w:val="en-US"/>
              </w:rPr>
            </w:pPr>
            <w:r>
              <w:rPr>
                <w:rFonts w:ascii="Abadi" w:eastAsia="Calibri" w:hAnsi="Abadi" w:cs="Calibri"/>
                <w:color w:val="1A1A1A"/>
                <w:lang w:val="en-US"/>
              </w:rPr>
              <w:t>Real GDP Growth</w:t>
            </w:r>
          </w:p>
        </w:tc>
        <w:tc>
          <w:tcPr>
            <w:tcW w:w="1344"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4EE2A3EB" w14:textId="77777777" w:rsidR="00DF147D" w:rsidRPr="0018255F" w:rsidRDefault="00000000" w:rsidP="0018255F">
            <w:pPr>
              <w:ind w:right="-90"/>
              <w:jc w:val="center"/>
              <w:rPr>
                <w:rFonts w:ascii="Abadi" w:hAnsi="Abadi"/>
                <w:lang w:val="en-US"/>
              </w:rPr>
            </w:pPr>
            <w:r>
              <w:rPr>
                <w:rFonts w:ascii="Abadi" w:eastAsia="Calibri" w:hAnsi="Abadi" w:cs="Calibri"/>
                <w:color w:val="1A1A1A"/>
                <w:lang w:val="en-US"/>
              </w:rPr>
              <w:t>+3%</w:t>
            </w:r>
          </w:p>
        </w:tc>
        <w:tc>
          <w:tcPr>
            <w:tcW w:w="16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67B73FBE" w14:textId="77777777" w:rsidR="00DF147D" w:rsidRPr="0018255F" w:rsidRDefault="00000000" w:rsidP="0018255F">
            <w:pPr>
              <w:ind w:right="-90"/>
              <w:jc w:val="center"/>
              <w:rPr>
                <w:rFonts w:ascii="Abadi" w:hAnsi="Abadi"/>
                <w:lang w:val="en-US"/>
              </w:rPr>
            </w:pPr>
            <w:r>
              <w:rPr>
                <w:rFonts w:ascii="Abadi" w:eastAsia="Calibri" w:hAnsi="Abadi" w:cs="Calibri"/>
                <w:color w:val="1A1A1A"/>
                <w:lang w:val="en-US"/>
              </w:rPr>
              <w:t>+3%</w:t>
            </w:r>
          </w:p>
        </w:tc>
        <w:tc>
          <w:tcPr>
            <w:tcW w:w="16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7C153FE6" w14:textId="77777777" w:rsidR="00DF147D" w:rsidRPr="0018255F" w:rsidRDefault="00000000" w:rsidP="0018255F">
            <w:pPr>
              <w:ind w:right="-90"/>
              <w:jc w:val="center"/>
              <w:rPr>
                <w:rFonts w:ascii="Abadi" w:hAnsi="Abadi"/>
                <w:lang w:val="en-US"/>
              </w:rPr>
            </w:pPr>
            <w:r>
              <w:rPr>
                <w:rFonts w:ascii="Abadi" w:eastAsia="Calibri" w:hAnsi="Abadi" w:cs="Calibri"/>
                <w:color w:val="1A1A1A"/>
                <w:lang w:val="en-US"/>
              </w:rPr>
              <w:t>+9.32% (Q1)</w:t>
            </w:r>
          </w:p>
        </w:tc>
        <w:tc>
          <w:tcPr>
            <w:tcW w:w="2581"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56415FA0" w14:textId="77777777" w:rsidR="00DF147D" w:rsidRPr="0018255F" w:rsidRDefault="00000000" w:rsidP="0018255F">
            <w:pPr>
              <w:ind w:right="-90"/>
              <w:jc w:val="center"/>
              <w:rPr>
                <w:rFonts w:ascii="Abadi" w:hAnsi="Abadi"/>
                <w:lang w:val="en-US"/>
              </w:rPr>
            </w:pPr>
            <w:r>
              <w:rPr>
                <w:rFonts w:ascii="Abadi" w:eastAsia="Calibri" w:hAnsi="Abadi" w:cs="Calibri"/>
                <w:color w:val="1A1A1A"/>
                <w:lang w:val="en-US"/>
              </w:rPr>
              <w:t>FMI / BCV</w:t>
            </w:r>
          </w:p>
        </w:tc>
      </w:tr>
      <w:tr w:rsidR="00DF147D" w:rsidRPr="0018255F" w14:paraId="1A4C4532" w14:textId="77777777" w:rsidTr="0018255F">
        <w:tblPrEx>
          <w:tblCellMar>
            <w:top w:w="0" w:type="dxa"/>
            <w:bottom w:w="0" w:type="dxa"/>
          </w:tblCellMar>
        </w:tblPrEx>
        <w:tc>
          <w:tcPr>
            <w:tcW w:w="28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4FC4EC16" w14:textId="77777777" w:rsidR="00DF147D" w:rsidRPr="0018255F" w:rsidRDefault="00000000" w:rsidP="0018255F">
            <w:pPr>
              <w:ind w:right="-90"/>
              <w:jc w:val="center"/>
              <w:rPr>
                <w:rFonts w:ascii="Abadi" w:hAnsi="Abadi"/>
                <w:lang w:val="en-US"/>
              </w:rPr>
            </w:pPr>
            <w:r>
              <w:rPr>
                <w:rFonts w:ascii="Abadi" w:eastAsia="Calibri" w:hAnsi="Abadi" w:cs="Calibri"/>
                <w:color w:val="1A1A1A"/>
                <w:lang w:val="en-US"/>
              </w:rPr>
              <w:t>Annual Inflation (CPI)</w:t>
            </w:r>
          </w:p>
        </w:tc>
        <w:tc>
          <w:tcPr>
            <w:tcW w:w="1344"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50A1EE91" w14:textId="77777777" w:rsidR="00DF147D" w:rsidRPr="0018255F" w:rsidRDefault="00000000" w:rsidP="0018255F">
            <w:pPr>
              <w:ind w:right="-90"/>
              <w:jc w:val="center"/>
              <w:rPr>
                <w:rFonts w:ascii="Abadi" w:hAnsi="Abadi"/>
                <w:lang w:val="en-US"/>
              </w:rPr>
            </w:pPr>
            <w:r>
              <w:rPr>
                <w:rFonts w:ascii="Abadi" w:eastAsia="Calibri" w:hAnsi="Abadi" w:cs="Calibri"/>
                <w:color w:val="1A1A1A"/>
                <w:lang w:val="en-US"/>
              </w:rPr>
              <w:t>~190%</w:t>
            </w:r>
          </w:p>
        </w:tc>
        <w:tc>
          <w:tcPr>
            <w:tcW w:w="16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6F4A2410" w14:textId="77777777" w:rsidR="00DF147D" w:rsidRPr="0018255F" w:rsidRDefault="00000000" w:rsidP="0018255F">
            <w:pPr>
              <w:ind w:right="-90"/>
              <w:jc w:val="center"/>
              <w:rPr>
                <w:rFonts w:ascii="Abadi" w:hAnsi="Abadi"/>
                <w:lang w:val="en-US"/>
              </w:rPr>
            </w:pPr>
            <w:r>
              <w:rPr>
                <w:rFonts w:ascii="Abadi" w:eastAsia="Calibri" w:hAnsi="Abadi" w:cs="Calibri"/>
                <w:color w:val="1A1A1A"/>
                <w:lang w:val="en-US"/>
              </w:rPr>
              <w:t>~120%</w:t>
            </w:r>
          </w:p>
        </w:tc>
        <w:tc>
          <w:tcPr>
            <w:tcW w:w="16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0A566F87" w14:textId="77777777" w:rsidR="00DF147D" w:rsidRPr="0018255F" w:rsidRDefault="00000000" w:rsidP="0018255F">
            <w:pPr>
              <w:ind w:right="-90"/>
              <w:jc w:val="center"/>
              <w:rPr>
                <w:rFonts w:ascii="Abadi" w:hAnsi="Abadi"/>
                <w:lang w:val="en-US"/>
              </w:rPr>
            </w:pPr>
            <w:r>
              <w:rPr>
                <w:rFonts w:ascii="Abadi" w:eastAsia="Calibri" w:hAnsi="Abadi" w:cs="Calibri"/>
                <w:color w:val="1A1A1A"/>
                <w:lang w:val="en-US"/>
              </w:rPr>
              <w:t>~60-80%</w:t>
            </w:r>
          </w:p>
        </w:tc>
        <w:tc>
          <w:tcPr>
            <w:tcW w:w="2581"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31014F4F" w14:textId="77777777" w:rsidR="00DF147D" w:rsidRPr="0018255F" w:rsidRDefault="00000000" w:rsidP="0018255F">
            <w:pPr>
              <w:ind w:right="-90"/>
              <w:jc w:val="center"/>
              <w:rPr>
                <w:rFonts w:ascii="Abadi" w:hAnsi="Abadi"/>
                <w:lang w:val="en-US"/>
              </w:rPr>
            </w:pPr>
            <w:r>
              <w:rPr>
                <w:rFonts w:ascii="Abadi" w:eastAsia="Calibri" w:hAnsi="Abadi" w:cs="Calibri"/>
                <w:color w:val="1A1A1A"/>
                <w:lang w:val="en-US"/>
              </w:rPr>
              <w:t>BCV / PNUD</w:t>
            </w:r>
          </w:p>
        </w:tc>
      </w:tr>
      <w:tr w:rsidR="00DF147D" w:rsidRPr="0018255F" w14:paraId="4506E23E" w14:textId="77777777" w:rsidTr="0018255F">
        <w:tblPrEx>
          <w:tblCellMar>
            <w:top w:w="0" w:type="dxa"/>
            <w:bottom w:w="0" w:type="dxa"/>
          </w:tblCellMar>
        </w:tblPrEx>
        <w:tc>
          <w:tcPr>
            <w:tcW w:w="28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7B074B2E" w14:textId="77777777" w:rsidR="00DF147D" w:rsidRPr="0018255F" w:rsidRDefault="00000000" w:rsidP="0018255F">
            <w:pPr>
              <w:ind w:right="-90"/>
              <w:jc w:val="center"/>
              <w:rPr>
                <w:rFonts w:ascii="Abadi" w:hAnsi="Abadi"/>
                <w:lang w:val="en-US"/>
              </w:rPr>
            </w:pPr>
            <w:r>
              <w:rPr>
                <w:rFonts w:ascii="Abadi" w:eastAsia="Calibri" w:hAnsi="Abadi" w:cs="Calibri"/>
                <w:color w:val="1A1A1A"/>
                <w:lang w:val="en-US"/>
              </w:rPr>
              <w:t>De facto dollarization</w:t>
            </w:r>
          </w:p>
        </w:tc>
        <w:tc>
          <w:tcPr>
            <w:tcW w:w="1344"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61DC1081" w14:textId="77777777" w:rsidR="00DF147D" w:rsidRPr="0018255F" w:rsidRDefault="00000000" w:rsidP="0018255F">
            <w:pPr>
              <w:ind w:right="-90"/>
              <w:jc w:val="center"/>
              <w:rPr>
                <w:rFonts w:ascii="Abadi" w:hAnsi="Abadi"/>
                <w:lang w:val="en-US"/>
              </w:rPr>
            </w:pPr>
            <w:r>
              <w:rPr>
                <w:rFonts w:ascii="Abadi" w:eastAsia="Calibri" w:hAnsi="Abadi" w:cs="Calibri"/>
                <w:color w:val="1A1A1A"/>
                <w:lang w:val="en-US"/>
              </w:rPr>
              <w:t>~65-70%</w:t>
            </w:r>
          </w:p>
        </w:tc>
        <w:tc>
          <w:tcPr>
            <w:tcW w:w="16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52721B2D" w14:textId="77777777" w:rsidR="00DF147D" w:rsidRPr="0018255F" w:rsidRDefault="00000000" w:rsidP="0018255F">
            <w:pPr>
              <w:ind w:right="-90"/>
              <w:jc w:val="center"/>
              <w:rPr>
                <w:rFonts w:ascii="Abadi" w:hAnsi="Abadi"/>
                <w:lang w:val="en-US"/>
              </w:rPr>
            </w:pPr>
            <w:r>
              <w:rPr>
                <w:rFonts w:ascii="Abadi" w:eastAsia="Calibri" w:hAnsi="Abadi" w:cs="Calibri"/>
                <w:color w:val="1A1A1A"/>
                <w:lang w:val="en-US"/>
              </w:rPr>
              <w:t>~70-75%</w:t>
            </w:r>
          </w:p>
        </w:tc>
        <w:tc>
          <w:tcPr>
            <w:tcW w:w="16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7E895FEA" w14:textId="77777777" w:rsidR="00DF147D" w:rsidRPr="0018255F" w:rsidRDefault="00000000" w:rsidP="0018255F">
            <w:pPr>
              <w:ind w:right="-90"/>
              <w:jc w:val="center"/>
              <w:rPr>
                <w:rFonts w:ascii="Abadi" w:hAnsi="Abadi"/>
                <w:lang w:val="en-US"/>
              </w:rPr>
            </w:pPr>
            <w:r>
              <w:rPr>
                <w:rFonts w:ascii="Abadi" w:eastAsia="Calibri" w:hAnsi="Abadi" w:cs="Calibri"/>
                <w:color w:val="1A1A1A"/>
                <w:lang w:val="en-US"/>
              </w:rPr>
              <w:t>~75-80%</w:t>
            </w:r>
          </w:p>
        </w:tc>
        <w:tc>
          <w:tcPr>
            <w:tcW w:w="2581"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77319AA7" w14:textId="77777777" w:rsidR="00DF147D" w:rsidRPr="0018255F" w:rsidRDefault="00000000" w:rsidP="0018255F">
            <w:pPr>
              <w:ind w:right="-90"/>
              <w:jc w:val="center"/>
              <w:rPr>
                <w:rFonts w:ascii="Abadi" w:hAnsi="Abadi"/>
                <w:lang w:val="en-US"/>
              </w:rPr>
            </w:pPr>
            <w:r>
              <w:rPr>
                <w:rFonts w:ascii="Abadi" w:eastAsia="Calibri" w:hAnsi="Abadi" w:cs="Calibri"/>
                <w:color w:val="1A1A1A"/>
                <w:lang w:val="en-US"/>
              </w:rPr>
              <w:t>Ecoanalítica</w:t>
            </w:r>
          </w:p>
        </w:tc>
      </w:tr>
      <w:tr w:rsidR="00DF147D" w:rsidRPr="0018255F" w14:paraId="297D1A5C" w14:textId="77777777" w:rsidTr="0018255F">
        <w:tblPrEx>
          <w:tblCellMar>
            <w:top w:w="0" w:type="dxa"/>
            <w:bottom w:w="0" w:type="dxa"/>
          </w:tblCellMar>
        </w:tblPrEx>
        <w:tc>
          <w:tcPr>
            <w:tcW w:w="28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34223BD1" w14:textId="77777777" w:rsidR="00DF147D" w:rsidRPr="0018255F" w:rsidRDefault="00000000" w:rsidP="0018255F">
            <w:pPr>
              <w:ind w:right="-90"/>
              <w:jc w:val="center"/>
              <w:rPr>
                <w:rFonts w:ascii="Abadi" w:hAnsi="Abadi"/>
                <w:lang w:val="en-US"/>
              </w:rPr>
            </w:pPr>
            <w:r>
              <w:rPr>
                <w:rFonts w:ascii="Abadi" w:eastAsia="Calibri" w:hAnsi="Abadi" w:cs="Calibri"/>
                <w:color w:val="1A1A1A"/>
                <w:lang w:val="en-US"/>
              </w:rPr>
              <w:t>International reserves</w:t>
            </w:r>
          </w:p>
        </w:tc>
        <w:tc>
          <w:tcPr>
            <w:tcW w:w="1344"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205D8BDB" w14:textId="77777777" w:rsidR="00DF147D" w:rsidRPr="0018255F" w:rsidRDefault="00000000" w:rsidP="0018255F">
            <w:pPr>
              <w:ind w:right="-90"/>
              <w:jc w:val="center"/>
              <w:rPr>
                <w:rFonts w:ascii="Abadi" w:hAnsi="Abadi"/>
                <w:lang w:val="en-US"/>
              </w:rPr>
            </w:pPr>
            <w:r>
              <w:rPr>
                <w:rFonts w:ascii="Abadi" w:eastAsia="Calibri" w:hAnsi="Abadi" w:cs="Calibri"/>
                <w:color w:val="1A1A1A"/>
                <w:lang w:val="en-US"/>
              </w:rPr>
              <w:t>~$9B</w:t>
            </w:r>
          </w:p>
        </w:tc>
        <w:tc>
          <w:tcPr>
            <w:tcW w:w="16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3FCB1C9C" w14:textId="77777777" w:rsidR="00DF147D" w:rsidRPr="0018255F" w:rsidRDefault="00000000" w:rsidP="0018255F">
            <w:pPr>
              <w:ind w:right="-90"/>
              <w:jc w:val="center"/>
              <w:rPr>
                <w:rFonts w:ascii="Abadi" w:hAnsi="Abadi"/>
                <w:lang w:val="en-US"/>
              </w:rPr>
            </w:pPr>
            <w:r>
              <w:rPr>
                <w:rFonts w:ascii="Abadi" w:eastAsia="Calibri" w:hAnsi="Abadi" w:cs="Calibri"/>
                <w:color w:val="1A1A1A"/>
                <w:lang w:val="en-US"/>
              </w:rPr>
              <w:t>~$10B</w:t>
            </w:r>
          </w:p>
        </w:tc>
        <w:tc>
          <w:tcPr>
            <w:tcW w:w="16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6E157485" w14:textId="77777777" w:rsidR="00DF147D" w:rsidRPr="0018255F" w:rsidRDefault="00000000" w:rsidP="0018255F">
            <w:pPr>
              <w:ind w:right="-90"/>
              <w:jc w:val="center"/>
              <w:rPr>
                <w:rFonts w:ascii="Abadi" w:hAnsi="Abadi"/>
                <w:lang w:val="en-US"/>
              </w:rPr>
            </w:pPr>
            <w:r>
              <w:rPr>
                <w:rFonts w:ascii="Abadi" w:eastAsia="Calibri" w:hAnsi="Abadi" w:cs="Calibri"/>
                <w:color w:val="1A1A1A"/>
                <w:lang w:val="en-US"/>
              </w:rPr>
              <w:t>N/D</w:t>
            </w:r>
          </w:p>
        </w:tc>
        <w:tc>
          <w:tcPr>
            <w:tcW w:w="2581"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48240914" w14:textId="77777777" w:rsidR="00DF147D" w:rsidRPr="0018255F" w:rsidRDefault="00000000" w:rsidP="0018255F">
            <w:pPr>
              <w:ind w:right="-90"/>
              <w:jc w:val="center"/>
              <w:rPr>
                <w:rFonts w:ascii="Abadi" w:hAnsi="Abadi"/>
                <w:lang w:val="en-US"/>
              </w:rPr>
            </w:pPr>
            <w:r>
              <w:rPr>
                <w:rFonts w:ascii="Abadi" w:eastAsia="Calibri" w:hAnsi="Abadi" w:cs="Calibri"/>
                <w:color w:val="1A1A1A"/>
                <w:lang w:val="en-US"/>
              </w:rPr>
              <w:t>BCV</w:t>
            </w:r>
          </w:p>
        </w:tc>
      </w:tr>
      <w:tr w:rsidR="00DF147D" w:rsidRPr="0018255F" w14:paraId="7F7A6128" w14:textId="77777777" w:rsidTr="0018255F">
        <w:tblPrEx>
          <w:tblCellMar>
            <w:top w:w="0" w:type="dxa"/>
            <w:bottom w:w="0" w:type="dxa"/>
          </w:tblCellMar>
        </w:tblPrEx>
        <w:tc>
          <w:tcPr>
            <w:tcW w:w="28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3F6909F2" w14:textId="77777777" w:rsidR="00DF147D" w:rsidRPr="0018255F" w:rsidRDefault="00000000" w:rsidP="0018255F">
            <w:pPr>
              <w:ind w:right="-90"/>
              <w:jc w:val="center"/>
              <w:rPr>
                <w:rFonts w:ascii="Abadi" w:hAnsi="Abadi"/>
                <w:lang w:val="en-US"/>
              </w:rPr>
            </w:pPr>
            <w:r>
              <w:rPr>
                <w:rFonts w:ascii="Abadi" w:eastAsia="Calibri" w:hAnsi="Abadi" w:cs="Calibri"/>
                <w:color w:val="1A1A1A"/>
                <w:lang w:val="en-US"/>
              </w:rPr>
              <w:t>Remittances received</w:t>
            </w:r>
          </w:p>
        </w:tc>
        <w:tc>
          <w:tcPr>
            <w:tcW w:w="1344"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3BAF708A" w14:textId="77777777" w:rsidR="00DF147D" w:rsidRPr="0018255F" w:rsidRDefault="00000000" w:rsidP="0018255F">
            <w:pPr>
              <w:ind w:right="-90"/>
              <w:jc w:val="center"/>
              <w:rPr>
                <w:rFonts w:ascii="Abadi" w:hAnsi="Abadi"/>
                <w:lang w:val="en-US"/>
              </w:rPr>
            </w:pPr>
            <w:r>
              <w:rPr>
                <w:rFonts w:ascii="Abadi" w:eastAsia="Calibri" w:hAnsi="Abadi" w:cs="Calibri"/>
                <w:color w:val="1A1A1A"/>
                <w:lang w:val="en-US"/>
              </w:rPr>
              <w:t>~$4-5B/año</w:t>
            </w:r>
          </w:p>
        </w:tc>
        <w:tc>
          <w:tcPr>
            <w:tcW w:w="16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547D3FFD" w14:textId="77777777" w:rsidR="00DF147D" w:rsidRPr="0018255F" w:rsidRDefault="00000000" w:rsidP="0018255F">
            <w:pPr>
              <w:ind w:right="-90"/>
              <w:jc w:val="center"/>
              <w:rPr>
                <w:rFonts w:ascii="Abadi" w:hAnsi="Abadi"/>
                <w:lang w:val="en-US"/>
              </w:rPr>
            </w:pPr>
            <w:r>
              <w:rPr>
                <w:rFonts w:ascii="Abadi" w:eastAsia="Calibri" w:hAnsi="Abadi" w:cs="Calibri"/>
                <w:color w:val="1A1A1A"/>
                <w:lang w:val="en-US"/>
              </w:rPr>
              <w:t>~$5B</w:t>
            </w:r>
          </w:p>
        </w:tc>
        <w:tc>
          <w:tcPr>
            <w:tcW w:w="16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640CAF4A" w14:textId="77777777" w:rsidR="00DF147D" w:rsidRPr="0018255F" w:rsidRDefault="00000000" w:rsidP="0018255F">
            <w:pPr>
              <w:ind w:right="-90"/>
              <w:jc w:val="center"/>
              <w:rPr>
                <w:rFonts w:ascii="Abadi" w:hAnsi="Abadi"/>
                <w:lang w:val="en-US"/>
              </w:rPr>
            </w:pPr>
            <w:r>
              <w:rPr>
                <w:rFonts w:ascii="Abadi" w:eastAsia="Calibri" w:hAnsi="Abadi" w:cs="Calibri"/>
                <w:color w:val="1A1A1A"/>
                <w:lang w:val="en-US"/>
              </w:rPr>
              <w:t>Estable</w:t>
            </w:r>
          </w:p>
        </w:tc>
        <w:tc>
          <w:tcPr>
            <w:tcW w:w="2581"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55AD96AD" w14:textId="77777777" w:rsidR="00DF147D" w:rsidRPr="0018255F" w:rsidRDefault="00000000" w:rsidP="0018255F">
            <w:pPr>
              <w:ind w:right="-90"/>
              <w:jc w:val="center"/>
              <w:rPr>
                <w:rFonts w:ascii="Abadi" w:hAnsi="Abadi"/>
                <w:lang w:val="en-US"/>
              </w:rPr>
            </w:pPr>
            <w:r>
              <w:rPr>
                <w:rFonts w:ascii="Abadi" w:eastAsia="Calibri" w:hAnsi="Abadi" w:cs="Calibri"/>
                <w:color w:val="1A1A1A"/>
                <w:lang w:val="en-US"/>
              </w:rPr>
              <w:t>BCV / IFAD</w:t>
            </w:r>
          </w:p>
        </w:tc>
      </w:tr>
      <w:tr w:rsidR="00DF147D" w:rsidRPr="0018255F" w14:paraId="2611A6DE" w14:textId="77777777" w:rsidTr="0018255F">
        <w:tblPrEx>
          <w:tblCellMar>
            <w:top w:w="0" w:type="dxa"/>
            <w:bottom w:w="0" w:type="dxa"/>
          </w:tblCellMar>
        </w:tblPrEx>
        <w:tc>
          <w:tcPr>
            <w:tcW w:w="28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14EE3478" w14:textId="77777777" w:rsidR="00DF147D" w:rsidRPr="0018255F" w:rsidRDefault="00000000" w:rsidP="0018255F">
            <w:pPr>
              <w:ind w:right="-90"/>
              <w:jc w:val="center"/>
              <w:rPr>
                <w:rFonts w:ascii="Abadi" w:hAnsi="Abadi"/>
                <w:lang w:val="en-US"/>
              </w:rPr>
            </w:pPr>
            <w:r>
              <w:rPr>
                <w:rFonts w:ascii="Abadi" w:eastAsia="Calibri" w:hAnsi="Abadi" w:cs="Calibri"/>
                <w:color w:val="1A1A1A"/>
                <w:lang w:val="en-US"/>
              </w:rPr>
              <w:t>Total exports</w:t>
            </w:r>
          </w:p>
        </w:tc>
        <w:tc>
          <w:tcPr>
            <w:tcW w:w="1344"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115F99AB" w14:textId="77777777" w:rsidR="00DF147D" w:rsidRPr="0018255F" w:rsidRDefault="00000000" w:rsidP="0018255F">
            <w:pPr>
              <w:ind w:right="-90"/>
              <w:jc w:val="center"/>
              <w:rPr>
                <w:rFonts w:ascii="Abadi" w:hAnsi="Abadi"/>
                <w:lang w:val="en-US"/>
              </w:rPr>
            </w:pPr>
            <w:r>
              <w:rPr>
                <w:rFonts w:ascii="Abadi" w:eastAsia="Calibri" w:hAnsi="Abadi" w:cs="Calibri"/>
                <w:color w:val="1A1A1A"/>
                <w:lang w:val="en-US"/>
              </w:rPr>
              <w:t>~$17.5B (2024)</w:t>
            </w:r>
          </w:p>
        </w:tc>
        <w:tc>
          <w:tcPr>
            <w:tcW w:w="16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1B96DFD5" w14:textId="77777777" w:rsidR="00DF147D" w:rsidRPr="0018255F" w:rsidRDefault="00000000" w:rsidP="0018255F">
            <w:pPr>
              <w:ind w:right="-90"/>
              <w:jc w:val="center"/>
              <w:rPr>
                <w:rFonts w:ascii="Abadi" w:hAnsi="Abadi"/>
                <w:lang w:val="en-US"/>
              </w:rPr>
            </w:pPr>
            <w:r>
              <w:rPr>
                <w:rFonts w:ascii="Abadi" w:eastAsia="Calibri" w:hAnsi="Abadi" w:cs="Calibri"/>
                <w:color w:val="1A1A1A"/>
                <w:lang w:val="en-US"/>
              </w:rPr>
              <w:t>Petróleo &gt;90%</w:t>
            </w:r>
          </w:p>
        </w:tc>
        <w:tc>
          <w:tcPr>
            <w:tcW w:w="16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0615B664" w14:textId="77777777" w:rsidR="00DF147D" w:rsidRPr="0018255F" w:rsidRDefault="00000000" w:rsidP="0018255F">
            <w:pPr>
              <w:ind w:right="-90"/>
              <w:jc w:val="center"/>
              <w:rPr>
                <w:rFonts w:ascii="Abadi" w:hAnsi="Abadi"/>
                <w:lang w:val="en-US"/>
              </w:rPr>
            </w:pPr>
            <w:r>
              <w:rPr>
                <w:rFonts w:ascii="Abadi" w:eastAsia="Calibri" w:hAnsi="Abadi" w:cs="Calibri"/>
                <w:color w:val="1A1A1A"/>
                <w:lang w:val="en-US"/>
              </w:rPr>
              <w:t>Gradual increase</w:t>
            </w:r>
          </w:p>
        </w:tc>
        <w:tc>
          <w:tcPr>
            <w:tcW w:w="2581"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0A02BCCC" w14:textId="77777777" w:rsidR="00DF147D" w:rsidRPr="0018255F" w:rsidRDefault="00000000" w:rsidP="0018255F">
            <w:pPr>
              <w:ind w:right="-90"/>
              <w:jc w:val="center"/>
              <w:rPr>
                <w:rFonts w:ascii="Abadi" w:hAnsi="Abadi"/>
                <w:lang w:val="en-US"/>
              </w:rPr>
            </w:pPr>
            <w:r>
              <w:rPr>
                <w:rFonts w:ascii="Abadi" w:eastAsia="Calibri" w:hAnsi="Abadi" w:cs="Calibri"/>
                <w:color w:val="1A1A1A"/>
                <w:lang w:val="en-US"/>
              </w:rPr>
              <w:t>Reuters / PDVSA</w:t>
            </w:r>
          </w:p>
        </w:tc>
      </w:tr>
    </w:tbl>
    <w:p w14:paraId="0E3B5470" w14:textId="77777777" w:rsidR="00DF147D" w:rsidRPr="0018255F" w:rsidRDefault="00000000" w:rsidP="00A7547F">
      <w:pPr>
        <w:ind w:right="-90"/>
        <w:jc w:val="both"/>
        <w:rPr>
          <w:rFonts w:ascii="Abadi" w:hAnsi="Abadi"/>
          <w:b/>
          <w:bCs/>
          <w:lang w:val="en-US"/>
        </w:rPr>
      </w:pPr>
      <w:r>
        <w:rPr>
          <w:rFonts w:ascii="Abadi" w:eastAsia="Calibri" w:hAnsi="Abadi" w:cs="Calibri"/>
          <w:b/>
          <w:bCs/>
          <w:i/>
          <w:iCs/>
          <w:lang w:val="en-US"/>
        </w:rPr>
        <w:t>Sources: IMF World Economic Outlook; BCV; UNDP Venezuela Macroeconomic Performance; Ecoanalítica; Finanzas Digital; América Económica.</w:t>
      </w:r>
    </w:p>
    <w:p w14:paraId="10000021" w14:textId="10000022" w:rsidR="00A7547F" w:rsidRDefault="00A7547F" w:rsidP="00A7547F">
      <w:pPr>
        <w:ind w:right="-90" w:firstLine="720"/>
        <w:jc w:val="both"/>
        <w:rPr>
          <w:rFonts w:ascii="Abadi" w:eastAsia="Calibri" w:hAnsi="Abadi" w:cs="Calibri"/>
          <w:color w:val="1A1A1A"/>
          <w:sz w:val="24"/>
          <w:szCs w:val="24"/>
          <w:lang w:val="en-US"/>
        </w:rPr>
      </w:pPr>
    </w:p>
    <w:p w14:paraId="10000023" w14:textId="10000024" w:rsidR="00DF147D" w:rsidRDefault="00000000" w:rsidP="00A7547F">
      <w:pPr>
        <w:ind w:right="-90" w:firstLine="720"/>
        <w:jc w:val="both"/>
        <w:rPr>
          <w:rFonts w:ascii="Abadi" w:eastAsia="Calibri" w:hAnsi="Abadi" w:cs="Calibri"/>
          <w:color w:val="1A1A1A"/>
          <w:sz w:val="24"/>
          <w:szCs w:val="24"/>
          <w:lang w:val="en-US"/>
        </w:rPr>
      </w:pPr>
      <w:r>
        <w:rPr>
          <w:rFonts w:ascii="Abadi" w:eastAsia="Calibri" w:hAnsi="Abadi" w:cs="Calibri"/>
          <w:b/>
          <w:bCs/>
          <w:color w:val="1A1A1A"/>
          <w:sz w:val="24"/>
          <w:szCs w:val="24"/>
          <w:lang w:val="en-US"/>
        </w:rPr>
        <w:t xml:space="preserve">ECLAC 2026: Venezuela Projects Highest Growth in Latin America. </w:t>
      </w:r>
      <w:r>
        <w:rPr>
          <w:rFonts w:ascii="Abadi" w:eastAsia="Calibri" w:hAnsi="Abadi" w:cs="Calibri"/>
          <w:color w:val="1A1A1A"/>
          <w:sz w:val="24"/>
          <w:szCs w:val="24"/>
          <w:lang w:val="en-US"/>
        </w:rPr>
        <w:t xml:space="preserve">The Economic Commission for Latin America and the Caribbean (ECLAC) projects real GDP growth of 6.5% for Venezuela in 2026, the highest rate in all of Latin America, in a context where the regional average stands at approximately 2.0%. This exceptional performance reflects the confluence of the oil boom, the expansion of dollarized trade, the reactivation of bilateral investment agreements, and the — still partial — reduction of country risk derived from the political negotiation process. The tourism sector, practically inactive for a decade, is beginning to show signs of reactivation given the gradual normalization of security conditions and improvement of hotel infrastructure in major destinations. Exchange rate stabilization and de facto dollarization continue to be the pillars of the recovery of domestic consumption and business confidence.</w:t>
      </w:r>
    </w:p>
    <w:p w14:paraId="10000025" w14:textId="10000026" w:rsidR="00DF147D" w:rsidRDefault="00000000" w:rsidP="00A7547F">
      <w:pPr>
        <w:ind w:right="-90"/>
        <w:jc w:val="both"/>
        <w:rPr>
          <w:rFonts w:ascii="Abadi" w:hAnsi="Abadi"/>
          <w:i/>
          <w:iCs/>
          <w:color w:val="595959"/>
          <w:sz w:val="18"/>
          <w:szCs w:val="18"/>
          <w:lang w:val="en-US"/>
        </w:rPr>
      </w:pPr>
      <w:r>
        <w:rPr>
          <w:rFonts w:ascii="Abadi" w:hAnsi="Abadi"/>
          <w:i/>
          <w:iCs/>
          <w:color w:val="595959"/>
          <w:sz w:val="18"/>
          <w:szCs w:val="18"/>
          <w:lang w:val="en-US"/>
        </w:rPr>
        <w:t xml:space="preserve">Sources: ECLAC, Economic and Social Panorama of Latin America 2026 (October 2026); IMF, World Economic Outlook Update October 2026; BCV, preliminary data 2026.</w:t>
      </w:r>
    </w:p>
    <w:p w14:paraId="15231299" w14:textId="77777777" w:rsidR="00DF147D" w:rsidRPr="00FF37C1" w:rsidRDefault="00DF147D" w:rsidP="00A7547F">
      <w:pPr>
        <w:ind w:right="-90"/>
        <w:jc w:val="both"/>
        <w:rPr>
          <w:rFonts w:ascii="Abadi" w:hAnsi="Abadi"/>
          <w:sz w:val="24"/>
          <w:szCs w:val="24"/>
          <w:lang w:val="en-US"/>
        </w:rPr>
      </w:pPr>
    </w:p>
    <w:p w14:paraId="7D8D3D1D" w14:textId="77777777" w:rsidR="00DF147D" w:rsidRPr="00FF37C1" w:rsidRDefault="00000000" w:rsidP="00A7547F">
      <w:pPr>
        <w:pBdr>
          <w:bottom w:val="single" w:sz="6" w:space="0" w:color="CC0000"/>
        </w:pBdr>
        <w:ind w:right="-90"/>
        <w:jc w:val="both"/>
        <w:rPr>
          <w:rFonts w:ascii="Abadi" w:hAnsi="Abadi"/>
          <w:sz w:val="24"/>
          <w:szCs w:val="24"/>
          <w:lang w:val="en-US"/>
        </w:rPr>
      </w:pPr>
      <w:r>
        <w:rPr>
          <w:rFonts w:ascii="Abadi" w:eastAsia="Calibri" w:hAnsi="Abadi" w:cs="Calibri"/>
          <w:b/>
          <w:bCs/>
          <w:color w:val="1A1A1A"/>
          <w:sz w:val="24"/>
          <w:szCs w:val="24"/>
          <w:lang w:val="en-US"/>
        </w:rPr>
        <w:t>7.2  Dollarization and the New Commercial Ecosystem</w:t>
      </w:r>
    </w:p>
    <w:p w14:paraId="52BC43BD" w14:textId="77777777" w:rsidR="0018255F" w:rsidRDefault="0018255F" w:rsidP="00A7547F">
      <w:pPr>
        <w:ind w:right="-90" w:firstLine="720"/>
        <w:jc w:val="both"/>
        <w:rPr>
          <w:rFonts w:ascii="Abadi" w:eastAsia="Calibri" w:hAnsi="Abadi" w:cs="Calibri"/>
          <w:color w:val="1A1A1A"/>
          <w:sz w:val="24"/>
          <w:szCs w:val="24"/>
          <w:lang w:val="en-US"/>
        </w:rPr>
      </w:pPr>
    </w:p>
    <w:p w14:paraId="2E6E70F4" w14:textId="07368C97" w:rsidR="00DF147D" w:rsidRDefault="00000000" w:rsidP="00A7547F">
      <w:pPr>
        <w:ind w:right="-90" w:firstLine="720"/>
        <w:jc w:val="both"/>
        <w:rPr>
          <w:rFonts w:ascii="Abadi" w:eastAsia="Calibri" w:hAnsi="Abadi" w:cs="Calibri"/>
          <w:color w:val="1A1A1A"/>
          <w:sz w:val="24"/>
          <w:szCs w:val="24"/>
          <w:lang w:val="en-US"/>
        </w:rPr>
      </w:pPr>
      <w:r>
        <w:rPr>
          <w:rFonts w:ascii="Abadi" w:eastAsia="Calibri" w:hAnsi="Abadi" w:cs="Calibri"/>
          <w:color w:val="1A1A1A"/>
          <w:sz w:val="24"/>
          <w:szCs w:val="24"/>
          <w:lang w:val="en-US"/>
        </w:rPr>
        <w:t xml:space="preserve">The de facto dollarization process, initiated as an implicit policy in 2019 and consolidated by 2021, has generated a dual ecosystem: a formal dollarized economy concentrated in </w:t>
        <w:lastRenderedPageBreak/>
        <w:t xml:space="preserve">Caracas, Valencia and Maracaibo, and an informal bolivar-based economy in the country's interior. This duality generates serious inequalities in access to goods and services.</w:t>
      </w:r>
    </w:p>
    <w:p w14:paraId="04ED624C" w14:textId="77777777" w:rsidR="0018255F" w:rsidRPr="00FF37C1" w:rsidRDefault="0018255F" w:rsidP="00A7547F">
      <w:pPr>
        <w:ind w:right="-90" w:firstLine="720"/>
        <w:jc w:val="both"/>
        <w:rPr>
          <w:rFonts w:ascii="Abadi" w:hAnsi="Abadi"/>
          <w:sz w:val="24"/>
          <w:szCs w:val="24"/>
          <w:lang w:val="en-US"/>
        </w:rPr>
      </w:pPr>
    </w:p>
    <w:p w14:paraId="5DF01E60" w14:textId="77777777" w:rsidR="00DF147D" w:rsidRDefault="00000000" w:rsidP="00A7547F">
      <w:pPr>
        <w:ind w:right="-90" w:firstLine="720"/>
        <w:jc w:val="both"/>
        <w:rPr>
          <w:rFonts w:ascii="Abadi" w:eastAsia="Calibri" w:hAnsi="Abadi" w:cs="Calibri"/>
          <w:color w:val="1A1A1A"/>
          <w:sz w:val="24"/>
          <w:szCs w:val="24"/>
          <w:lang w:val="en-US"/>
        </w:rPr>
      </w:pPr>
      <w:r>
        <w:rPr>
          <w:rFonts w:ascii="Abadi" w:eastAsia="Calibri" w:hAnsi="Abadi" w:cs="Calibri"/>
          <w:color w:val="1A1A1A"/>
          <w:sz w:val="24"/>
          <w:szCs w:val="24"/>
          <w:lang w:val="en-US"/>
        </w:rPr>
        <w:t xml:space="preserve">Dollarization has contributed to the relative stabilization of prices in the tradable sector and has driven consumption of imported goods. However, access to productive credit in dollars is practically nonexistent for SMEs, limiting the multiplier effect of the recovery on the non-oil productive apparatus.</w:t>
      </w:r>
    </w:p>
    <w:p w14:paraId="4543DBAA" w14:textId="77777777" w:rsidR="0018255F" w:rsidRPr="00FF37C1" w:rsidRDefault="0018255F" w:rsidP="00A7547F">
      <w:pPr>
        <w:ind w:right="-90" w:firstLine="720"/>
        <w:jc w:val="both"/>
        <w:rPr>
          <w:rFonts w:ascii="Abadi" w:hAnsi="Abadi"/>
          <w:sz w:val="24"/>
          <w:szCs w:val="24"/>
          <w:lang w:val="en-US"/>
        </w:rPr>
      </w:pPr>
    </w:p>
    <w:p w14:paraId="5FCA2BA1" w14:textId="77777777" w:rsidR="00DF147D" w:rsidRPr="00FF37C1" w:rsidRDefault="00000000" w:rsidP="00A7547F">
      <w:pPr>
        <w:pBdr>
          <w:bottom w:val="single" w:sz="6" w:space="0" w:color="CC0000"/>
        </w:pBdr>
        <w:ind w:right="-90"/>
        <w:jc w:val="both"/>
        <w:rPr>
          <w:rFonts w:ascii="Abadi" w:hAnsi="Abadi"/>
          <w:sz w:val="24"/>
          <w:szCs w:val="24"/>
          <w:lang w:val="en-US"/>
        </w:rPr>
      </w:pPr>
      <w:r>
        <w:rPr>
          <w:rFonts w:ascii="Abadi" w:eastAsia="Calibri" w:hAnsi="Abadi" w:cs="Calibri"/>
          <w:b/>
          <w:bCs/>
          <w:color w:val="1A1A1A"/>
          <w:sz w:val="24"/>
          <w:szCs w:val="24"/>
          <w:lang w:val="en-US"/>
        </w:rPr>
        <w:t>7.3  External Debt and Restructuring Framework</w:t>
      </w:r>
    </w:p>
    <w:p w14:paraId="05A0388E" w14:textId="77777777" w:rsidR="0018255F" w:rsidRDefault="0018255F" w:rsidP="00A7547F">
      <w:pPr>
        <w:ind w:right="-90" w:firstLine="720"/>
        <w:jc w:val="both"/>
        <w:rPr>
          <w:rFonts w:ascii="Abadi" w:eastAsia="Calibri" w:hAnsi="Abadi" w:cs="Calibri"/>
          <w:color w:val="1A1A1A"/>
          <w:sz w:val="24"/>
          <w:szCs w:val="24"/>
          <w:lang w:val="en-US"/>
        </w:rPr>
      </w:pPr>
    </w:p>
    <w:p w14:paraId="69F8A8C3" w14:textId="574ED077" w:rsidR="00DF147D" w:rsidRDefault="00000000" w:rsidP="00A7547F">
      <w:pPr>
        <w:ind w:right="-90" w:firstLine="720"/>
        <w:jc w:val="both"/>
        <w:rPr>
          <w:rFonts w:ascii="Abadi" w:eastAsia="Calibri" w:hAnsi="Abadi" w:cs="Calibri"/>
          <w:color w:val="1A1A1A"/>
          <w:sz w:val="24"/>
          <w:szCs w:val="24"/>
          <w:lang w:val="en-US"/>
        </w:rPr>
      </w:pPr>
      <w:r>
        <w:rPr>
          <w:rFonts w:ascii="Abadi" w:eastAsia="Calibri" w:hAnsi="Abadi" w:cs="Calibri"/>
          <w:color w:val="1A1A1A"/>
          <w:sz w:val="24"/>
          <w:szCs w:val="24"/>
          <w:lang w:val="en-US"/>
        </w:rPr>
        <w:t>Venezuela has accumulated external liabilities estimated at more than USD $150 billion, including PDVSA sovereign bonds in default since 2017, debts to China (estimated at &gt;$60 billion), agreements with Russia (partially restructured in 2017-2018), and obligations to multilateral organizations. The restructuring of this debt is an essential condition for the normalization of Venezuela's access to international capital markets.</w:t>
      </w:r>
    </w:p>
    <w:p w14:paraId="7DB65F84" w14:textId="77777777" w:rsidR="0018255F" w:rsidRPr="00FF37C1" w:rsidRDefault="0018255F" w:rsidP="00A7547F">
      <w:pPr>
        <w:ind w:right="-90" w:firstLine="720"/>
        <w:jc w:val="both"/>
        <w:rPr>
          <w:rFonts w:ascii="Abadi" w:hAnsi="Abadi"/>
          <w:sz w:val="24"/>
          <w:szCs w:val="24"/>
          <w:lang w:val="en-US"/>
        </w:rPr>
      </w:pPr>
    </w:p>
    <w:tbl>
      <w:tblPr>
        <w:tblW w:w="10165" w:type="dxa"/>
        <w:tblBorders>
          <w:top w:val="single" w:sz="4" w:space="0" w:color="999999"/>
          <w:left w:val="single" w:sz="4" w:space="0" w:color="999999"/>
          <w:bottom w:val="single" w:sz="4" w:space="0" w:color="999999"/>
          <w:right w:val="single" w:sz="4" w:space="0" w:color="999999"/>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20"/>
        <w:gridCol w:w="1680"/>
        <w:gridCol w:w="2520"/>
        <w:gridCol w:w="3445"/>
      </w:tblGrid>
      <w:tr w:rsidR="00DF147D" w:rsidRPr="00AA2B3C" w14:paraId="567D6E7F" w14:textId="77777777" w:rsidTr="00AA2B3C">
        <w:tblPrEx>
          <w:tblCellMar>
            <w:top w:w="0" w:type="dxa"/>
            <w:bottom w:w="0" w:type="dxa"/>
          </w:tblCellMar>
        </w:tblPrEx>
        <w:tc>
          <w:tcPr>
            <w:tcW w:w="2520"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036F228D" w14:textId="77777777" w:rsidR="00DF147D" w:rsidRPr="00AA2B3C" w:rsidRDefault="00000000" w:rsidP="00AA2B3C">
            <w:pPr>
              <w:ind w:right="-90"/>
              <w:jc w:val="center"/>
              <w:rPr>
                <w:rFonts w:ascii="Abadi" w:hAnsi="Abadi"/>
                <w:sz w:val="22"/>
                <w:szCs w:val="22"/>
                <w:lang w:val="en-US"/>
              </w:rPr>
            </w:pPr>
            <w:r>
              <w:rPr>
                <w:rFonts w:ascii="Abadi" w:eastAsia="Calibri" w:hAnsi="Abadi" w:cs="Calibri"/>
                <w:b/>
                <w:bCs/>
                <w:color w:val="FFFFFF"/>
                <w:sz w:val="22"/>
                <w:szCs w:val="22"/>
                <w:lang w:val="en-US"/>
              </w:rPr>
              <w:t>Creditor</w:t>
            </w:r>
          </w:p>
        </w:tc>
        <w:tc>
          <w:tcPr>
            <w:tcW w:w="1680"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598D294D" w14:textId="77777777" w:rsidR="00DF147D" w:rsidRPr="00AA2B3C" w:rsidRDefault="00000000" w:rsidP="00AA2B3C">
            <w:pPr>
              <w:ind w:right="-90"/>
              <w:jc w:val="center"/>
              <w:rPr>
                <w:rFonts w:ascii="Abadi" w:hAnsi="Abadi"/>
                <w:sz w:val="22"/>
                <w:szCs w:val="22"/>
                <w:lang w:val="en-US"/>
              </w:rPr>
            </w:pPr>
            <w:r>
              <w:rPr>
                <w:rFonts w:ascii="Abadi" w:eastAsia="Calibri" w:hAnsi="Abadi" w:cs="Calibri"/>
                <w:b/>
                <w:bCs/>
                <w:color w:val="FFFFFF"/>
                <w:sz w:val="22"/>
                <w:szCs w:val="22"/>
                <w:lang w:val="en-US"/>
              </w:rPr>
              <w:t xml:space="preserve">Est. Amount (USD B)</w:t>
            </w:r>
          </w:p>
        </w:tc>
        <w:tc>
          <w:tcPr>
            <w:tcW w:w="2520"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17766403" w14:textId="77777777" w:rsidR="00DF147D" w:rsidRPr="00AA2B3C" w:rsidRDefault="00000000" w:rsidP="00AA2B3C">
            <w:pPr>
              <w:ind w:right="-90"/>
              <w:jc w:val="center"/>
              <w:rPr>
                <w:rFonts w:ascii="Abadi" w:hAnsi="Abadi"/>
                <w:sz w:val="22"/>
                <w:szCs w:val="22"/>
                <w:lang w:val="en-US"/>
              </w:rPr>
            </w:pPr>
            <w:r>
              <w:rPr>
                <w:rFonts w:ascii="Abadi" w:eastAsia="Calibri" w:hAnsi="Abadi" w:cs="Calibri"/>
                <w:b/>
                <w:bCs/>
                <w:color w:val="FFFFFF"/>
                <w:sz w:val="22"/>
                <w:szCs w:val="22"/>
                <w:lang w:val="en-US"/>
              </w:rPr>
              <w:t>Status</w:t>
            </w:r>
          </w:p>
        </w:tc>
        <w:tc>
          <w:tcPr>
            <w:tcW w:w="3445"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33E7964A" w14:textId="77777777" w:rsidR="00DF147D" w:rsidRPr="00AA2B3C" w:rsidRDefault="00000000" w:rsidP="00AA2B3C">
            <w:pPr>
              <w:ind w:right="-90"/>
              <w:jc w:val="center"/>
              <w:rPr>
                <w:rFonts w:ascii="Abadi" w:hAnsi="Abadi"/>
                <w:sz w:val="22"/>
                <w:szCs w:val="22"/>
                <w:lang w:val="en-US"/>
              </w:rPr>
            </w:pPr>
            <w:r>
              <w:rPr>
                <w:rFonts w:ascii="Abadi" w:eastAsia="Calibri" w:hAnsi="Abadi" w:cs="Calibri"/>
                <w:b/>
                <w:bCs/>
                <w:color w:val="FFFFFF"/>
                <w:sz w:val="22"/>
                <w:szCs w:val="22"/>
                <w:lang w:val="en-US"/>
              </w:rPr>
              <w:t>Condition</w:t>
            </w:r>
          </w:p>
        </w:tc>
      </w:tr>
      <w:tr w:rsidR="00DF147D" w:rsidRPr="00AA2B3C" w14:paraId="6E56898D" w14:textId="77777777" w:rsidTr="00AA2B3C">
        <w:tblPrEx>
          <w:tblCellMar>
            <w:top w:w="0" w:type="dxa"/>
            <w:bottom w:w="0" w:type="dxa"/>
          </w:tblCellMar>
        </w:tblPrEx>
        <w:tc>
          <w:tcPr>
            <w:tcW w:w="252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2504E145" w14:textId="77777777" w:rsidR="00DF147D" w:rsidRPr="00AA2B3C" w:rsidRDefault="00000000" w:rsidP="00AA2B3C">
            <w:pPr>
              <w:ind w:right="-90"/>
              <w:jc w:val="center"/>
              <w:rPr>
                <w:rFonts w:ascii="Abadi" w:hAnsi="Abadi"/>
                <w:sz w:val="22"/>
                <w:szCs w:val="22"/>
                <w:lang w:val="en-US"/>
              </w:rPr>
            </w:pPr>
            <w:r>
              <w:rPr>
                <w:rFonts w:ascii="Abadi" w:eastAsia="Calibri" w:hAnsi="Abadi" w:cs="Calibri"/>
                <w:color w:val="1A1A1A"/>
                <w:sz w:val="22"/>
                <w:szCs w:val="22"/>
                <w:lang w:val="en-US"/>
              </w:rPr>
              <w:t xml:space="preserve">China (CNOOC, CDB, Eximbank)</w:t>
            </w:r>
          </w:p>
        </w:tc>
        <w:tc>
          <w:tcPr>
            <w:tcW w:w="16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4742D375" w14:textId="77777777" w:rsidR="00DF147D" w:rsidRPr="00AA2B3C" w:rsidRDefault="00000000" w:rsidP="00AA2B3C">
            <w:pPr>
              <w:ind w:right="-90"/>
              <w:jc w:val="center"/>
              <w:rPr>
                <w:rFonts w:ascii="Abadi" w:hAnsi="Abadi"/>
                <w:sz w:val="22"/>
                <w:szCs w:val="22"/>
                <w:lang w:val="en-US"/>
              </w:rPr>
            </w:pPr>
            <w:r>
              <w:rPr>
                <w:rFonts w:ascii="Abadi" w:eastAsia="Calibri" w:hAnsi="Abadi" w:cs="Calibri"/>
                <w:color w:val="1A1A1A"/>
                <w:sz w:val="22"/>
                <w:szCs w:val="22"/>
                <w:lang w:val="en-US"/>
              </w:rPr>
              <w:t>&gt;$60B</w:t>
            </w:r>
          </w:p>
        </w:tc>
        <w:tc>
          <w:tcPr>
            <w:tcW w:w="252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69B6FC9A" w14:textId="77777777" w:rsidR="00DF147D" w:rsidRPr="00AA2B3C" w:rsidRDefault="00000000" w:rsidP="00AA2B3C">
            <w:pPr>
              <w:ind w:right="-90"/>
              <w:jc w:val="center"/>
              <w:rPr>
                <w:rFonts w:ascii="Abadi" w:hAnsi="Abadi"/>
                <w:sz w:val="22"/>
                <w:szCs w:val="22"/>
                <w:lang w:val="en-US"/>
              </w:rPr>
            </w:pPr>
            <w:r>
              <w:rPr>
                <w:rFonts w:ascii="Abadi" w:eastAsia="Calibri" w:hAnsi="Abadi" w:cs="Calibri"/>
                <w:color w:val="1A1A1A"/>
                <w:sz w:val="22"/>
                <w:szCs w:val="22"/>
                <w:lang w:val="en-US"/>
              </w:rPr>
              <w:t>Moratorium / payments in crude</w:t>
            </w:r>
          </w:p>
        </w:tc>
        <w:tc>
          <w:tcPr>
            <w:tcW w:w="3445"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2C059CA1" w14:textId="77777777" w:rsidR="00DF147D" w:rsidRPr="00AA2B3C" w:rsidRDefault="00000000" w:rsidP="00AA2B3C">
            <w:pPr>
              <w:ind w:right="-90"/>
              <w:jc w:val="center"/>
              <w:rPr>
                <w:rFonts w:ascii="Abadi" w:hAnsi="Abadi"/>
                <w:sz w:val="22"/>
                <w:szCs w:val="22"/>
                <w:lang w:val="en-US"/>
              </w:rPr>
            </w:pPr>
            <w:r>
              <w:rPr>
                <w:rFonts w:ascii="Abadi" w:eastAsia="Calibri" w:hAnsi="Abadi" w:cs="Calibri"/>
                <w:color w:val="1A1A1A"/>
                <w:sz w:val="22"/>
                <w:szCs w:val="22"/>
                <w:lang w:val="en-US"/>
              </w:rPr>
              <w:t>Principal obstáculo para reestructuración (S&amp;P Global)</w:t>
            </w:r>
          </w:p>
        </w:tc>
      </w:tr>
      <w:tr w:rsidR="00DF147D" w:rsidRPr="00AA2B3C" w14:paraId="7405E51A" w14:textId="77777777" w:rsidTr="00AA2B3C">
        <w:tblPrEx>
          <w:tblCellMar>
            <w:top w:w="0" w:type="dxa"/>
            <w:bottom w:w="0" w:type="dxa"/>
          </w:tblCellMar>
        </w:tblPrEx>
        <w:tc>
          <w:tcPr>
            <w:tcW w:w="252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08E7E7DA" w14:textId="77777777" w:rsidR="00DF147D" w:rsidRPr="00AA2B3C" w:rsidRDefault="00000000" w:rsidP="00AA2B3C">
            <w:pPr>
              <w:ind w:right="-90"/>
              <w:jc w:val="center"/>
              <w:rPr>
                <w:rFonts w:ascii="Abadi" w:hAnsi="Abadi"/>
                <w:sz w:val="22"/>
                <w:szCs w:val="22"/>
                <w:lang w:val="en-US"/>
              </w:rPr>
            </w:pPr>
            <w:r>
              <w:rPr>
                <w:rFonts w:ascii="Abadi" w:eastAsia="Calibri" w:hAnsi="Abadi" w:cs="Calibri"/>
                <w:color w:val="1A1A1A"/>
                <w:sz w:val="22"/>
                <w:szCs w:val="22"/>
                <w:lang w:val="en-US"/>
              </w:rPr>
              <w:t>Sovereign Bonds / PDVSA</w:t>
            </w:r>
          </w:p>
        </w:tc>
        <w:tc>
          <w:tcPr>
            <w:tcW w:w="16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43B652F6" w14:textId="77777777" w:rsidR="00DF147D" w:rsidRPr="00AA2B3C" w:rsidRDefault="00000000" w:rsidP="00AA2B3C">
            <w:pPr>
              <w:ind w:right="-90"/>
              <w:jc w:val="center"/>
              <w:rPr>
                <w:rFonts w:ascii="Abadi" w:hAnsi="Abadi"/>
                <w:sz w:val="22"/>
                <w:szCs w:val="22"/>
                <w:lang w:val="en-US"/>
              </w:rPr>
            </w:pPr>
            <w:r>
              <w:rPr>
                <w:rFonts w:ascii="Abadi" w:eastAsia="Calibri" w:hAnsi="Abadi" w:cs="Calibri"/>
                <w:color w:val="1A1A1A"/>
                <w:sz w:val="22"/>
                <w:szCs w:val="22"/>
                <w:lang w:val="en-US"/>
              </w:rPr>
              <w:t>~$55-65B</w:t>
            </w:r>
          </w:p>
        </w:tc>
        <w:tc>
          <w:tcPr>
            <w:tcW w:w="252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44998D1F" w14:textId="77777777" w:rsidR="00DF147D" w:rsidRPr="00AA2B3C" w:rsidRDefault="00000000" w:rsidP="00AA2B3C">
            <w:pPr>
              <w:ind w:right="-90"/>
              <w:jc w:val="center"/>
              <w:rPr>
                <w:rFonts w:ascii="Abadi" w:hAnsi="Abadi"/>
                <w:sz w:val="22"/>
                <w:szCs w:val="22"/>
                <w:lang w:val="en-US"/>
              </w:rPr>
            </w:pPr>
            <w:r>
              <w:rPr>
                <w:rFonts w:ascii="Abadi" w:eastAsia="Calibri" w:hAnsi="Abadi" w:cs="Calibri"/>
                <w:color w:val="1A1A1A"/>
                <w:sz w:val="22"/>
                <w:szCs w:val="22"/>
                <w:lang w:val="en-US"/>
              </w:rPr>
              <w:t>Default since 2017</w:t>
            </w:r>
          </w:p>
        </w:tc>
        <w:tc>
          <w:tcPr>
            <w:tcW w:w="3445"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51C7AB5D" w14:textId="77777777" w:rsidR="00DF147D" w:rsidRPr="00AA2B3C" w:rsidRDefault="00000000" w:rsidP="00AA2B3C">
            <w:pPr>
              <w:ind w:right="-90"/>
              <w:jc w:val="center"/>
              <w:rPr>
                <w:rFonts w:ascii="Abadi" w:hAnsi="Abadi"/>
                <w:sz w:val="22"/>
                <w:szCs w:val="22"/>
                <w:lang w:val="en-US"/>
              </w:rPr>
            </w:pPr>
            <w:r>
              <w:rPr>
                <w:rFonts w:ascii="Abadi" w:eastAsia="Calibri" w:hAnsi="Abadi" w:cs="Calibri"/>
                <w:color w:val="1A1A1A"/>
                <w:sz w:val="22"/>
                <w:szCs w:val="22"/>
                <w:lang w:val="en-US"/>
              </w:rPr>
              <w:t>OFAC process + creditor negotiation</w:t>
            </w:r>
          </w:p>
        </w:tc>
      </w:tr>
      <w:tr w:rsidR="00DF147D" w:rsidRPr="00AA2B3C" w14:paraId="12EFD8BC" w14:textId="77777777" w:rsidTr="00AA2B3C">
        <w:tblPrEx>
          <w:tblCellMar>
            <w:top w:w="0" w:type="dxa"/>
            <w:bottom w:w="0" w:type="dxa"/>
          </w:tblCellMar>
        </w:tblPrEx>
        <w:tc>
          <w:tcPr>
            <w:tcW w:w="252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2132F9E1" w14:textId="77777777" w:rsidR="00DF147D" w:rsidRPr="00AA2B3C" w:rsidRDefault="00000000" w:rsidP="00AA2B3C">
            <w:pPr>
              <w:ind w:right="-90"/>
              <w:jc w:val="center"/>
              <w:rPr>
                <w:rFonts w:ascii="Abadi" w:hAnsi="Abadi"/>
                <w:sz w:val="22"/>
                <w:szCs w:val="22"/>
                <w:lang w:val="en-US"/>
              </w:rPr>
            </w:pPr>
            <w:r>
              <w:rPr>
                <w:rFonts w:ascii="Abadi" w:eastAsia="Calibri" w:hAnsi="Abadi" w:cs="Calibri"/>
                <w:color w:val="1A1A1A"/>
                <w:sz w:val="22"/>
                <w:szCs w:val="22"/>
                <w:lang w:val="en-US"/>
              </w:rPr>
              <w:t>Russia (Rosneft, agreements)</w:t>
            </w:r>
          </w:p>
        </w:tc>
        <w:tc>
          <w:tcPr>
            <w:tcW w:w="16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3BA8E1B7" w14:textId="77777777" w:rsidR="00DF147D" w:rsidRPr="00AA2B3C" w:rsidRDefault="00000000" w:rsidP="00AA2B3C">
            <w:pPr>
              <w:ind w:right="-90"/>
              <w:jc w:val="center"/>
              <w:rPr>
                <w:rFonts w:ascii="Abadi" w:hAnsi="Abadi"/>
                <w:sz w:val="22"/>
                <w:szCs w:val="22"/>
                <w:lang w:val="en-US"/>
              </w:rPr>
            </w:pPr>
            <w:r>
              <w:rPr>
                <w:rFonts w:ascii="Abadi" w:eastAsia="Calibri" w:hAnsi="Abadi" w:cs="Calibri"/>
                <w:color w:val="1A1A1A"/>
                <w:sz w:val="22"/>
                <w:szCs w:val="22"/>
                <w:lang w:val="en-US"/>
              </w:rPr>
              <w:t>~$10-15B</w:t>
            </w:r>
          </w:p>
        </w:tc>
        <w:tc>
          <w:tcPr>
            <w:tcW w:w="252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58E7ED11" w14:textId="77777777" w:rsidR="00DF147D" w:rsidRPr="00AA2B3C" w:rsidRDefault="00000000" w:rsidP="00AA2B3C">
            <w:pPr>
              <w:ind w:right="-90"/>
              <w:jc w:val="center"/>
              <w:rPr>
                <w:rFonts w:ascii="Abadi" w:hAnsi="Abadi"/>
                <w:sz w:val="22"/>
                <w:szCs w:val="22"/>
                <w:lang w:val="en-US"/>
              </w:rPr>
            </w:pPr>
            <w:r>
              <w:rPr>
                <w:rFonts w:ascii="Abadi" w:eastAsia="Calibri" w:hAnsi="Abadi" w:cs="Calibri"/>
                <w:color w:val="1A1A1A"/>
                <w:sz w:val="22"/>
                <w:szCs w:val="22"/>
                <w:lang w:val="en-US"/>
              </w:rPr>
              <w:t>Partially settled in crude</w:t>
            </w:r>
          </w:p>
        </w:tc>
        <w:tc>
          <w:tcPr>
            <w:tcW w:w="3445"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547E78DF" w14:textId="77777777" w:rsidR="00DF147D" w:rsidRPr="00AA2B3C" w:rsidRDefault="00000000" w:rsidP="00AA2B3C">
            <w:pPr>
              <w:ind w:right="-90"/>
              <w:jc w:val="center"/>
              <w:rPr>
                <w:rFonts w:ascii="Abadi" w:hAnsi="Abadi"/>
                <w:sz w:val="22"/>
                <w:szCs w:val="22"/>
                <w:lang w:val="en-US"/>
              </w:rPr>
            </w:pPr>
            <w:r>
              <w:rPr>
                <w:rFonts w:ascii="Abadi" w:eastAsia="Calibri" w:hAnsi="Abadi" w:cs="Calibri"/>
                <w:color w:val="1A1A1A"/>
                <w:sz w:val="22"/>
                <w:szCs w:val="22"/>
                <w:lang w:val="en-US"/>
              </w:rPr>
              <w:t xml:space="preserve">Relationship under review post-Maduro capture</w:t>
            </w:r>
          </w:p>
        </w:tc>
      </w:tr>
      <w:tr w:rsidR="00DF147D" w:rsidRPr="00AA2B3C" w14:paraId="73CF22F8" w14:textId="77777777" w:rsidTr="00AA2B3C">
        <w:tblPrEx>
          <w:tblCellMar>
            <w:top w:w="0" w:type="dxa"/>
            <w:bottom w:w="0" w:type="dxa"/>
          </w:tblCellMar>
        </w:tblPrEx>
        <w:tc>
          <w:tcPr>
            <w:tcW w:w="252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165A4FFC" w14:textId="77777777" w:rsidR="00DF147D" w:rsidRPr="00AA2B3C" w:rsidRDefault="00000000" w:rsidP="00AA2B3C">
            <w:pPr>
              <w:ind w:right="-90"/>
              <w:jc w:val="center"/>
              <w:rPr>
                <w:rFonts w:ascii="Abadi" w:hAnsi="Abadi"/>
                <w:sz w:val="22"/>
                <w:szCs w:val="22"/>
                <w:lang w:val="en-US"/>
              </w:rPr>
            </w:pPr>
            <w:r>
              <w:rPr>
                <w:rFonts w:ascii="Abadi" w:eastAsia="Calibri" w:hAnsi="Abadi" w:cs="Calibri"/>
                <w:color w:val="1A1A1A"/>
                <w:sz w:val="22"/>
                <w:szCs w:val="22"/>
                <w:lang w:val="en-US"/>
              </w:rPr>
              <w:t>Multilaterals (IDB, CAF)</w:t>
            </w:r>
          </w:p>
        </w:tc>
        <w:tc>
          <w:tcPr>
            <w:tcW w:w="16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21BB260E" w14:textId="77777777" w:rsidR="00DF147D" w:rsidRPr="00AA2B3C" w:rsidRDefault="00000000" w:rsidP="00AA2B3C">
            <w:pPr>
              <w:ind w:right="-90"/>
              <w:jc w:val="center"/>
              <w:rPr>
                <w:rFonts w:ascii="Abadi" w:hAnsi="Abadi"/>
                <w:sz w:val="22"/>
                <w:szCs w:val="22"/>
                <w:lang w:val="en-US"/>
              </w:rPr>
            </w:pPr>
            <w:r>
              <w:rPr>
                <w:rFonts w:ascii="Abadi" w:eastAsia="Calibri" w:hAnsi="Abadi" w:cs="Calibri"/>
                <w:color w:val="1A1A1A"/>
                <w:sz w:val="22"/>
                <w:szCs w:val="22"/>
                <w:lang w:val="en-US"/>
              </w:rPr>
              <w:t>~$5-8B</w:t>
            </w:r>
          </w:p>
        </w:tc>
        <w:tc>
          <w:tcPr>
            <w:tcW w:w="252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23AFA0B5" w14:textId="77777777" w:rsidR="00DF147D" w:rsidRPr="00AA2B3C" w:rsidRDefault="00000000" w:rsidP="00AA2B3C">
            <w:pPr>
              <w:ind w:right="-90"/>
              <w:jc w:val="center"/>
              <w:rPr>
                <w:rFonts w:ascii="Abadi" w:hAnsi="Abadi"/>
                <w:sz w:val="22"/>
                <w:szCs w:val="22"/>
                <w:lang w:val="en-US"/>
              </w:rPr>
            </w:pPr>
            <w:r>
              <w:rPr>
                <w:rFonts w:ascii="Abadi" w:eastAsia="Calibri" w:hAnsi="Abadi" w:cs="Calibri"/>
                <w:color w:val="1A1A1A"/>
                <w:sz w:val="22"/>
                <w:szCs w:val="22"/>
                <w:lang w:val="en-US"/>
              </w:rPr>
              <w:t>Active selective agreements</w:t>
            </w:r>
          </w:p>
        </w:tc>
        <w:tc>
          <w:tcPr>
            <w:tcW w:w="3445"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23B50D62" w14:textId="77777777" w:rsidR="00DF147D" w:rsidRPr="00AA2B3C" w:rsidRDefault="00000000" w:rsidP="00AA2B3C">
            <w:pPr>
              <w:ind w:right="-90"/>
              <w:jc w:val="center"/>
              <w:rPr>
                <w:rFonts w:ascii="Abadi" w:hAnsi="Abadi"/>
                <w:sz w:val="22"/>
                <w:szCs w:val="22"/>
                <w:lang w:val="en-US"/>
              </w:rPr>
            </w:pPr>
            <w:r>
              <w:rPr>
                <w:rFonts w:ascii="Abadi" w:eastAsia="Calibri" w:hAnsi="Abadi" w:cs="Calibri"/>
                <w:color w:val="1A1A1A"/>
                <w:sz w:val="22"/>
                <w:szCs w:val="22"/>
                <w:lang w:val="en-US"/>
              </w:rPr>
              <w:t>Normalizing</w:t>
            </w:r>
          </w:p>
        </w:tc>
      </w:tr>
    </w:tbl>
    <w:p w14:paraId="6C7D710A" w14:textId="77777777" w:rsidR="00DF147D" w:rsidRPr="00AA2B3C" w:rsidRDefault="00000000" w:rsidP="00A7547F">
      <w:pPr>
        <w:ind w:right="-90"/>
        <w:jc w:val="both"/>
        <w:rPr>
          <w:rFonts w:ascii="Abadi" w:hAnsi="Abadi"/>
          <w:b/>
          <w:bCs/>
        </w:rPr>
      </w:pPr>
      <w:r>
        <w:rPr>
          <w:rFonts w:ascii="Abadi" w:eastAsia="Calibri" w:hAnsi="Abadi" w:cs="Calibri"/>
          <w:b/>
          <w:bCs/>
          <w:i/>
          <w:iCs/>
          <w:color w:val="000000" w:themeColor="text1"/>
        </w:rPr>
        <w:t xml:space="preserve">Sources: S&amp;P Global (OilNow.gy); The Objective (2026); VOA (deuda rusa); BCV.</w:t>
      </w:r>
    </w:p>
    <w:p w14:paraId="23666AAB" w14:textId="77777777" w:rsidR="00DF147D" w:rsidRPr="00FF37C1" w:rsidRDefault="00DF147D" w:rsidP="00A7547F">
      <w:pPr>
        <w:ind w:right="-90"/>
        <w:jc w:val="both"/>
        <w:rPr>
          <w:rFonts w:ascii="Abadi" w:hAnsi="Abadi"/>
          <w:sz w:val="24"/>
          <w:szCs w:val="24"/>
        </w:rPr>
      </w:pPr>
    </w:p>
    <w:tbl>
      <w:tblPr>
        <w:tblW w:w="10080" w:type="dxa"/>
        <w:tblBorders>
          <w:top w:val="none" w:sz="0" w:space="0" w:color="FFFFFF"/>
          <w:left w:val="none" w:sz="0" w:space="0" w:color="FFFFFF"/>
          <w:bottom w:val="single" w:sz="12" w:space="0" w:color="CC0000"/>
          <w:right w:val="none" w:sz="0" w:space="0" w:color="FFFFFF"/>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80"/>
      </w:tblGrid>
      <w:tr w:rsidR="00DF147D" w:rsidRPr="00FF37C1" w14:paraId="2B9360A1" w14:textId="77777777">
        <w:tblPrEx>
          <w:tblCellMar>
            <w:top w:w="0" w:type="dxa"/>
            <w:bottom w:w="0" w:type="dxa"/>
          </w:tblCellMar>
        </w:tblPrEx>
        <w:tc>
          <w:tcPr>
            <w:tcW w:w="10080" w:type="dxa"/>
            <w:tcBorders>
              <w:top w:val="none" w:sz="0" w:space="0" w:color="FFFFFF"/>
              <w:left w:val="none" w:sz="0" w:space="0" w:color="FFFFFF"/>
              <w:bottom w:val="none" w:sz="0" w:space="0" w:color="FFFFFF"/>
              <w:right w:val="none" w:sz="0" w:space="0" w:color="FFFFFF"/>
            </w:tcBorders>
            <w:shd w:val="clear" w:color="auto" w:fill="111E35"/>
            <w:tcMar>
              <w:top w:w="100" w:type="dxa"/>
              <w:left w:w="200" w:type="dxa"/>
              <w:bottom w:w="100" w:type="dxa"/>
              <w:right w:w="200" w:type="dxa"/>
            </w:tcMar>
          </w:tcPr>
          <w:p w14:paraId="2B16FA77" w14:textId="77777777" w:rsidR="00DF147D" w:rsidRPr="00FF37C1" w:rsidRDefault="00000000" w:rsidP="00A7547F">
            <w:pPr>
              <w:ind w:right="-90"/>
              <w:jc w:val="both"/>
              <w:rPr>
                <w:rFonts w:ascii="Abadi" w:hAnsi="Abadi"/>
                <w:sz w:val="24"/>
                <w:szCs w:val="24"/>
              </w:rPr>
            </w:pPr>
            <w:r>
              <w:rPr>
                <w:rFonts w:ascii="Abadi" w:eastAsia="Calibri" w:hAnsi="Abadi" w:cs="Calibri"/>
                <w:b/>
                <w:bCs/>
                <w:color w:val="FFFFFF"/>
                <w:sz w:val="24"/>
                <w:szCs w:val="24"/>
              </w:rPr>
              <w:t>8.  SECURITY AND OPERATIONAL RISKS</w:t>
            </w:r>
          </w:p>
        </w:tc>
      </w:tr>
    </w:tbl>
    <w:p w14:paraId="372CE6E9" w14:textId="77777777" w:rsidR="00AA2B3C" w:rsidRDefault="00AA2B3C" w:rsidP="00A7547F">
      <w:pPr>
        <w:pBdr>
          <w:bottom w:val="single" w:sz="6" w:space="0" w:color="CC0000"/>
        </w:pBdr>
        <w:ind w:right="-90"/>
        <w:jc w:val="both"/>
        <w:rPr>
          <w:rFonts w:ascii="Abadi" w:eastAsia="Calibri" w:hAnsi="Abadi" w:cs="Calibri"/>
          <w:b/>
          <w:bCs/>
          <w:color w:val="1A1A1A"/>
          <w:sz w:val="24"/>
          <w:szCs w:val="24"/>
          <w:lang w:val="en-US"/>
        </w:rPr>
      </w:pPr>
    </w:p>
    <w:p w14:paraId="4FEEB935" w14:textId="2DD74989" w:rsidR="00DF147D" w:rsidRPr="00FF37C1" w:rsidRDefault="00000000" w:rsidP="00A7547F">
      <w:pPr>
        <w:pBdr>
          <w:bottom w:val="single" w:sz="6" w:space="0" w:color="CC0000"/>
        </w:pBdr>
        <w:ind w:right="-90"/>
        <w:jc w:val="both"/>
        <w:rPr>
          <w:rFonts w:ascii="Abadi" w:hAnsi="Abadi"/>
          <w:sz w:val="24"/>
          <w:szCs w:val="24"/>
          <w:lang w:val="en-US"/>
        </w:rPr>
      </w:pPr>
      <w:r>
        <w:rPr>
          <w:rFonts w:ascii="Abadi" w:eastAsia="Calibri" w:hAnsi="Abadi" w:cs="Calibri"/>
          <w:b/>
          <w:bCs/>
          <w:color w:val="1A1A1A"/>
          <w:sz w:val="24"/>
          <w:szCs w:val="24"/>
          <w:lang w:val="en-US"/>
        </w:rPr>
        <w:t>8.1  The Post-Transition Security Landscape</w:t>
      </w:r>
    </w:p>
    <w:p w14:paraId="21D470EC" w14:textId="77777777" w:rsidR="00AA2B3C" w:rsidRDefault="00AA2B3C" w:rsidP="00A7547F">
      <w:pPr>
        <w:ind w:right="-90" w:firstLine="720"/>
        <w:jc w:val="both"/>
        <w:rPr>
          <w:rFonts w:ascii="Abadi" w:eastAsia="Calibri" w:hAnsi="Abadi" w:cs="Calibri"/>
          <w:color w:val="1A1A1A"/>
          <w:sz w:val="24"/>
          <w:szCs w:val="24"/>
          <w:lang w:val="en-US"/>
        </w:rPr>
      </w:pPr>
    </w:p>
    <w:p w14:paraId="1444135A" w14:textId="50A33FD3" w:rsidR="00DF147D" w:rsidRDefault="00000000" w:rsidP="00A7547F">
      <w:pPr>
        <w:ind w:right="-90" w:firstLine="720"/>
        <w:jc w:val="both"/>
        <w:rPr>
          <w:rFonts w:ascii="Abadi" w:eastAsia="Calibri" w:hAnsi="Abadi" w:cs="Calibri"/>
          <w:color w:val="1A1A1A"/>
          <w:sz w:val="24"/>
          <w:szCs w:val="24"/>
          <w:lang w:val="en-US"/>
        </w:rPr>
      </w:pPr>
      <w:r>
        <w:rPr>
          <w:rFonts w:ascii="Abadi" w:eastAsia="Calibri" w:hAnsi="Abadi" w:cs="Calibri"/>
          <w:color w:val="1A1A1A"/>
          <w:sz w:val="24"/>
          <w:szCs w:val="24"/>
          <w:lang w:val="en-US"/>
        </w:rPr>
        <w:t>The capture of Maduro and the transition process have profoundly altered Venezuela's security map. The partial dismantling of the SEBIN and G2 (military intelligence) coercive apparatus has created a vacuum that, in some regions, has been filled by organized criminal actors (pranes, megagangs, Tren de Aragua structures), armed Chavista collectives, and border guerrilla groups.</w:t>
      </w:r>
    </w:p>
    <w:p w14:paraId="15DC7212" w14:textId="77777777" w:rsidR="0018255F" w:rsidRPr="00FF37C1" w:rsidRDefault="0018255F" w:rsidP="00A7547F">
      <w:pPr>
        <w:ind w:right="-90" w:firstLine="720"/>
        <w:jc w:val="both"/>
        <w:rPr>
          <w:rFonts w:ascii="Abadi" w:hAnsi="Abadi"/>
          <w:sz w:val="24"/>
          <w:szCs w:val="24"/>
          <w:lang w:val="en-US"/>
        </w:rPr>
      </w:pPr>
    </w:p>
    <w:tbl>
      <w:tblPr>
        <w:tblW w:w="10080" w:type="dxa"/>
        <w:tblBorders>
          <w:top w:val="single" w:sz="4" w:space="0" w:color="999999"/>
          <w:left w:val="single" w:sz="4" w:space="0" w:color="999999"/>
          <w:bottom w:val="single" w:sz="4" w:space="0" w:color="999999"/>
          <w:right w:val="single" w:sz="4" w:space="0" w:color="999999"/>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880"/>
        <w:gridCol w:w="1344"/>
        <w:gridCol w:w="1680"/>
        <w:gridCol w:w="4176"/>
      </w:tblGrid>
      <w:tr w:rsidR="00DF147D" w:rsidRPr="0018255F" w14:paraId="675AD62D" w14:textId="77777777" w:rsidTr="0018255F">
        <w:tblPrEx>
          <w:tblCellMar>
            <w:top w:w="0" w:type="dxa"/>
            <w:bottom w:w="0" w:type="dxa"/>
          </w:tblCellMar>
        </w:tblPrEx>
        <w:tc>
          <w:tcPr>
            <w:tcW w:w="2880"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12A72928" w14:textId="77777777" w:rsidR="00DF147D" w:rsidRPr="0018255F" w:rsidRDefault="00000000" w:rsidP="0018255F">
            <w:pPr>
              <w:ind w:right="-90"/>
              <w:jc w:val="center"/>
              <w:rPr>
                <w:rFonts w:ascii="Abadi" w:hAnsi="Abadi"/>
                <w:sz w:val="22"/>
                <w:szCs w:val="22"/>
                <w:lang w:val="en-US"/>
              </w:rPr>
            </w:pPr>
            <w:r>
              <w:rPr>
                <w:rFonts w:ascii="Abadi" w:eastAsia="Calibri" w:hAnsi="Abadi" w:cs="Calibri"/>
                <w:b/>
                <w:bCs/>
                <w:color w:val="FFFFFF"/>
                <w:sz w:val="22"/>
                <w:szCs w:val="22"/>
                <w:lang w:val="en-US"/>
              </w:rPr>
              <w:t>Risk Vector</w:t>
            </w:r>
          </w:p>
        </w:tc>
        <w:tc>
          <w:tcPr>
            <w:tcW w:w="1344"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31E2A59F" w14:textId="77777777" w:rsidR="00DF147D" w:rsidRPr="0018255F" w:rsidRDefault="00000000" w:rsidP="0018255F">
            <w:pPr>
              <w:ind w:right="-90"/>
              <w:jc w:val="center"/>
              <w:rPr>
                <w:rFonts w:ascii="Abadi" w:hAnsi="Abadi"/>
                <w:sz w:val="22"/>
                <w:szCs w:val="22"/>
                <w:lang w:val="en-US"/>
              </w:rPr>
            </w:pPr>
            <w:r>
              <w:rPr>
                <w:rFonts w:ascii="Abadi" w:eastAsia="Calibri" w:hAnsi="Abadi" w:cs="Calibri"/>
                <w:b/>
                <w:bCs/>
                <w:color w:val="FFFFFF"/>
                <w:sz w:val="22"/>
                <w:szCs w:val="22"/>
                <w:lang w:val="en-US"/>
              </w:rPr>
              <w:t>Level (Oct. 2026)</w:t>
            </w:r>
          </w:p>
        </w:tc>
        <w:tc>
          <w:tcPr>
            <w:tcW w:w="1680"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5EF8802E" w14:textId="77777777" w:rsidR="00DF147D" w:rsidRPr="0018255F" w:rsidRDefault="00000000" w:rsidP="0018255F">
            <w:pPr>
              <w:ind w:right="-90"/>
              <w:jc w:val="center"/>
              <w:rPr>
                <w:rFonts w:ascii="Abadi" w:hAnsi="Abadi"/>
                <w:sz w:val="22"/>
                <w:szCs w:val="22"/>
                <w:lang w:val="en-US"/>
              </w:rPr>
            </w:pPr>
            <w:r>
              <w:rPr>
                <w:rFonts w:ascii="Abadi" w:eastAsia="Calibri" w:hAnsi="Abadi" w:cs="Calibri"/>
                <w:b/>
                <w:bCs/>
                <w:color w:val="FFFFFF"/>
                <w:sz w:val="22"/>
                <w:szCs w:val="22"/>
                <w:lang w:val="en-US"/>
              </w:rPr>
              <w:t>Trend</w:t>
            </w:r>
          </w:p>
        </w:tc>
        <w:tc>
          <w:tcPr>
            <w:tcW w:w="4176" w:type="dxa"/>
            <w:tcBorders>
              <w:top w:val="none" w:sz="0" w:space="0" w:color="FFFFFF"/>
              <w:left w:val="single" w:sz="4" w:space="0" w:color="666666"/>
              <w:bottom w:val="none" w:sz="0" w:space="0" w:color="FFFFFF"/>
              <w:right w:val="single" w:sz="4" w:space="0" w:color="666666"/>
            </w:tcBorders>
            <w:shd w:val="clear" w:color="auto" w:fill="1B2A4A"/>
            <w:tcMar>
              <w:top w:w="60" w:type="dxa"/>
              <w:left w:w="80" w:type="dxa"/>
              <w:bottom w:w="60" w:type="dxa"/>
              <w:right w:w="80" w:type="dxa"/>
            </w:tcMar>
            <w:vAlign w:val="center"/>
          </w:tcPr>
          <w:p w14:paraId="7E5A401F" w14:textId="77777777" w:rsidR="00DF147D" w:rsidRPr="0018255F" w:rsidRDefault="00000000" w:rsidP="0018255F">
            <w:pPr>
              <w:ind w:right="-90"/>
              <w:jc w:val="center"/>
              <w:rPr>
                <w:rFonts w:ascii="Abadi" w:hAnsi="Abadi"/>
                <w:sz w:val="22"/>
                <w:szCs w:val="22"/>
                <w:lang w:val="en-US"/>
              </w:rPr>
            </w:pPr>
            <w:r>
              <w:rPr>
                <w:rFonts w:ascii="Abadi" w:eastAsia="Calibri" w:hAnsi="Abadi" w:cs="Calibri"/>
                <w:b/>
                <w:bCs/>
                <w:color w:val="FFFFFF"/>
                <w:sz w:val="22"/>
                <w:szCs w:val="22"/>
                <w:lang w:val="en-US"/>
              </w:rPr>
              <w:t>Geographic Area</w:t>
            </w:r>
          </w:p>
        </w:tc>
      </w:tr>
      <w:tr w:rsidR="00DF147D" w:rsidRPr="0018255F" w14:paraId="500B4EA1" w14:textId="77777777" w:rsidTr="0018255F">
        <w:tblPrEx>
          <w:tblCellMar>
            <w:top w:w="0" w:type="dxa"/>
            <w:bottom w:w="0" w:type="dxa"/>
          </w:tblCellMar>
        </w:tblPrEx>
        <w:tc>
          <w:tcPr>
            <w:tcW w:w="28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22D7725D"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Urban organized crime</w:t>
            </w:r>
          </w:p>
        </w:tc>
        <w:tc>
          <w:tcPr>
            <w:tcW w:w="1344"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3E4B107C"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ALTO</w:t>
            </w:r>
          </w:p>
        </w:tc>
        <w:tc>
          <w:tcPr>
            <w:tcW w:w="16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60C42F73"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Stable/declining</w:t>
            </w:r>
          </w:p>
        </w:tc>
        <w:tc>
          <w:tcPr>
            <w:tcW w:w="4176"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615D36C7"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Caracas, Valencia, Maracaibo</w:t>
            </w:r>
          </w:p>
        </w:tc>
      </w:tr>
      <w:tr w:rsidR="00DF147D" w:rsidRPr="0018255F" w14:paraId="3F543CDE" w14:textId="77777777" w:rsidTr="0018255F">
        <w:tblPrEx>
          <w:tblCellMar>
            <w:top w:w="0" w:type="dxa"/>
            <w:bottom w:w="0" w:type="dxa"/>
          </w:tblCellMar>
        </w:tblPrEx>
        <w:tc>
          <w:tcPr>
            <w:tcW w:w="28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5CD44443"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Irregular armed groups</w:t>
            </w:r>
          </w:p>
        </w:tc>
        <w:tc>
          <w:tcPr>
            <w:tcW w:w="1344"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564BAD02"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MUY ALTO</w:t>
            </w:r>
          </w:p>
        </w:tc>
        <w:tc>
          <w:tcPr>
            <w:tcW w:w="16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30390A6E"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Persistent</w:t>
            </w:r>
          </w:p>
        </w:tc>
        <w:tc>
          <w:tcPr>
            <w:tcW w:w="4176"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1751FC99"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Apure, Bolívar, Amazonas, Táchira</w:t>
            </w:r>
          </w:p>
        </w:tc>
      </w:tr>
      <w:tr w:rsidR="00DF147D" w:rsidRPr="0018255F" w14:paraId="6ADBE09D" w14:textId="77777777" w:rsidTr="0018255F">
        <w:tblPrEx>
          <w:tblCellMar>
            <w:top w:w="0" w:type="dxa"/>
            <w:bottom w:w="0" w:type="dxa"/>
          </w:tblCellMar>
        </w:tblPrEx>
        <w:tc>
          <w:tcPr>
            <w:tcW w:w="28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1DAFEED6"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Border crime</w:t>
            </w:r>
          </w:p>
        </w:tc>
        <w:tc>
          <w:tcPr>
            <w:tcW w:w="1344"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016A4796"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MUY ALTO</w:t>
            </w:r>
          </w:p>
        </w:tc>
        <w:tc>
          <w:tcPr>
            <w:tcW w:w="16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6548EFAD"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Growing</w:t>
            </w:r>
          </w:p>
        </w:tc>
        <w:tc>
          <w:tcPr>
            <w:tcW w:w="4176"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3A1FA3CE"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Fronteras Colombia, Brasil, Guyana</w:t>
            </w:r>
          </w:p>
        </w:tc>
      </w:tr>
      <w:tr w:rsidR="00DF147D" w:rsidRPr="0018255F" w14:paraId="4E93AC2C" w14:textId="77777777" w:rsidTr="0018255F">
        <w:tblPrEx>
          <w:tblCellMar>
            <w:top w:w="0" w:type="dxa"/>
            <w:bottom w:w="0" w:type="dxa"/>
          </w:tblCellMar>
        </w:tblPrEx>
        <w:tc>
          <w:tcPr>
            <w:tcW w:w="28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1044CB84"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Political instability</w:t>
            </w:r>
          </w:p>
        </w:tc>
        <w:tc>
          <w:tcPr>
            <w:tcW w:w="1344"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3A4050C2"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ALTO</w:t>
            </w:r>
          </w:p>
        </w:tc>
        <w:tc>
          <w:tcPr>
            <w:tcW w:w="16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5066F918"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Declining</w:t>
            </w:r>
          </w:p>
        </w:tc>
        <w:tc>
          <w:tcPr>
            <w:tcW w:w="4176"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196EE6A9"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Nacional</w:t>
            </w:r>
          </w:p>
        </w:tc>
      </w:tr>
      <w:tr w:rsidR="00DF147D" w:rsidRPr="0018255F" w14:paraId="401DD35B" w14:textId="77777777" w:rsidTr="0018255F">
        <w:tblPrEx>
          <w:tblCellMar>
            <w:top w:w="0" w:type="dxa"/>
            <w:bottom w:w="0" w:type="dxa"/>
          </w:tblCellMar>
        </w:tblPrEx>
        <w:tc>
          <w:tcPr>
            <w:tcW w:w="28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1240F877"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Institutional corruption</w:t>
            </w:r>
          </w:p>
        </w:tc>
        <w:tc>
          <w:tcPr>
            <w:tcW w:w="1344"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6188B6F5"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MUY ALTO</w:t>
            </w:r>
          </w:p>
        </w:tc>
        <w:tc>
          <w:tcPr>
            <w:tcW w:w="1680"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54DFCB04"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Persistent</w:t>
            </w:r>
          </w:p>
        </w:tc>
        <w:tc>
          <w:tcPr>
            <w:tcW w:w="4176" w:type="dxa"/>
            <w:tcBorders>
              <w:top w:val="single" w:sz="2" w:space="0" w:color="CCCCCC"/>
              <w:left w:val="single" w:sz="2" w:space="0" w:color="CCCCCC"/>
              <w:bottom w:val="single" w:sz="2" w:space="0" w:color="CCCCCC"/>
              <w:right w:val="single" w:sz="2" w:space="0" w:color="CCCCCC"/>
            </w:tcBorders>
            <w:shd w:val="clear" w:color="auto" w:fill="FFFFFF"/>
            <w:tcMar>
              <w:top w:w="50" w:type="dxa"/>
              <w:left w:w="80" w:type="dxa"/>
              <w:bottom w:w="50" w:type="dxa"/>
              <w:right w:w="80" w:type="dxa"/>
            </w:tcMar>
            <w:vAlign w:val="center"/>
          </w:tcPr>
          <w:p w14:paraId="287C3584"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Nacional</w:t>
            </w:r>
          </w:p>
        </w:tc>
      </w:tr>
      <w:tr w:rsidR="00DF147D" w:rsidRPr="0018255F" w14:paraId="1A442837" w14:textId="77777777" w:rsidTr="0018255F">
        <w:tblPrEx>
          <w:tblCellMar>
            <w:top w:w="0" w:type="dxa"/>
            <w:bottom w:w="0" w:type="dxa"/>
          </w:tblCellMar>
        </w:tblPrEx>
        <w:tc>
          <w:tcPr>
            <w:tcW w:w="28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5342320F"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Energy operational risk</w:t>
            </w:r>
          </w:p>
        </w:tc>
        <w:tc>
          <w:tcPr>
            <w:tcW w:w="1344"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2D8747C9"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ALTO</w:t>
            </w:r>
          </w:p>
        </w:tc>
        <w:tc>
          <w:tcPr>
            <w:tcW w:w="1680"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39D9B7CC"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Declining (con inversión)</w:t>
            </w:r>
          </w:p>
        </w:tc>
        <w:tc>
          <w:tcPr>
            <w:tcW w:w="4176" w:type="dxa"/>
            <w:tcBorders>
              <w:top w:val="single" w:sz="2" w:space="0" w:color="CCCCCC"/>
              <w:left w:val="single" w:sz="2" w:space="0" w:color="CCCCCC"/>
              <w:bottom w:val="single" w:sz="2" w:space="0" w:color="CCCCCC"/>
              <w:right w:val="single" w:sz="2" w:space="0" w:color="CCCCCC"/>
            </w:tcBorders>
            <w:shd w:val="clear" w:color="auto" w:fill="F2F2F2"/>
            <w:tcMar>
              <w:top w:w="50" w:type="dxa"/>
              <w:left w:w="80" w:type="dxa"/>
              <w:bottom w:w="50" w:type="dxa"/>
              <w:right w:w="80" w:type="dxa"/>
            </w:tcMar>
            <w:vAlign w:val="center"/>
          </w:tcPr>
          <w:p w14:paraId="706CD56A"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Oil basins, SEN</w:t>
            </w:r>
          </w:p>
        </w:tc>
      </w:tr>
    </w:tbl>
    <w:p w14:paraId="43C77E40" w14:textId="77777777" w:rsidR="00DF147D" w:rsidRPr="00FF37C1" w:rsidRDefault="00DF147D" w:rsidP="00A7547F">
      <w:pPr>
        <w:ind w:right="-90"/>
        <w:jc w:val="both"/>
        <w:rPr>
          <w:rFonts w:ascii="Abadi" w:hAnsi="Abadi"/>
          <w:sz w:val="24"/>
          <w:szCs w:val="24"/>
        </w:rPr>
      </w:pPr>
    </w:p>
    <w:p w14:paraId="12294D12" w14:textId="77777777" w:rsidR="0018255F" w:rsidRDefault="0018255F" w:rsidP="00A7547F">
      <w:pPr>
        <w:pBdr>
          <w:bottom w:val="single" w:sz="6" w:space="0" w:color="CC0000"/>
        </w:pBdr>
        <w:ind w:right="-90"/>
        <w:jc w:val="both"/>
        <w:rPr>
          <w:rFonts w:ascii="Abadi" w:eastAsia="Calibri" w:hAnsi="Abadi" w:cs="Calibri"/>
          <w:b/>
          <w:bCs/>
          <w:color w:val="1A1A1A"/>
          <w:sz w:val="24"/>
          <w:szCs w:val="24"/>
        </w:rPr>
      </w:pPr>
    </w:p>
    <w:p w14:paraId="574346E6" w14:textId="4479DD3D" w:rsidR="00DF147D" w:rsidRPr="0018255F" w:rsidRDefault="00000000" w:rsidP="00A7547F">
      <w:pPr>
        <w:pBdr>
          <w:bottom w:val="single" w:sz="6" w:space="0" w:color="CC0000"/>
        </w:pBdr>
        <w:ind w:right="-90"/>
        <w:jc w:val="both"/>
        <w:rPr>
          <w:rFonts w:ascii="Abadi" w:hAnsi="Abadi"/>
          <w:sz w:val="24"/>
          <w:szCs w:val="24"/>
          <w:lang w:val="en-US"/>
        </w:rPr>
      </w:pPr>
      <w:r>
        <w:rPr>
          <w:rFonts w:ascii="Abadi" w:eastAsia="Calibri" w:hAnsi="Abadi" w:cs="Calibri"/>
          <w:b/>
          <w:bCs/>
          <w:color w:val="1A1A1A"/>
          <w:sz w:val="24"/>
          <w:szCs w:val="24"/>
          <w:lang w:val="en-US"/>
        </w:rPr>
        <w:t>8.2  Transnational Networks and Organized Crime</w:t>
      </w:r>
    </w:p>
    <w:p w14:paraId="6EEFCD04" w14:textId="77777777" w:rsidR="0018255F" w:rsidRDefault="0018255F" w:rsidP="00A7547F">
      <w:pPr>
        <w:ind w:right="-90" w:firstLine="720"/>
        <w:jc w:val="both"/>
        <w:rPr>
          <w:rFonts w:ascii="Abadi" w:eastAsia="Calibri" w:hAnsi="Abadi" w:cs="Calibri"/>
          <w:color w:val="1A1A1A"/>
          <w:sz w:val="24"/>
          <w:szCs w:val="24"/>
          <w:lang w:val="en-US"/>
        </w:rPr>
      </w:pPr>
    </w:p>
    <w:p w14:paraId="4B03C3BD" w14:textId="557E7232" w:rsidR="00DF147D" w:rsidRDefault="00000000" w:rsidP="00A7547F">
      <w:pPr>
        <w:ind w:right="-90" w:firstLine="720"/>
        <w:jc w:val="both"/>
        <w:rPr>
          <w:rFonts w:ascii="Abadi" w:eastAsia="Calibri" w:hAnsi="Abadi" w:cs="Calibri"/>
          <w:color w:val="1A1A1A"/>
          <w:sz w:val="24"/>
          <w:szCs w:val="24"/>
          <w:lang w:val="en-US"/>
        </w:rPr>
      </w:pPr>
      <w:r>
        <w:rPr>
          <w:rFonts w:ascii="Abadi" w:eastAsia="Calibri" w:hAnsi="Abadi" w:cs="Calibri"/>
          <w:color w:val="1A1A1A"/>
          <w:sz w:val="24"/>
          <w:szCs w:val="24"/>
          <w:lang w:val="en-US"/>
        </w:rPr>
        <w:t>The Tren de Aragua, originating in Aragua state during the 2014-2018 period, has expanded its presence to more than 15 countries in Latin America and the Caribbean, including Chile, Colombia, Peru, and the United States. The organization operates as a transnational criminal conglomerate with activities in extortion, human trafficking, contract killing, and drug trafficking.</w:t>
      </w:r>
    </w:p>
    <w:p w14:paraId="18C8B589" w14:textId="77777777" w:rsidR="00AA2B3C" w:rsidRPr="00FF37C1" w:rsidRDefault="00AA2B3C" w:rsidP="00A7547F">
      <w:pPr>
        <w:ind w:right="-90" w:firstLine="720"/>
        <w:jc w:val="both"/>
        <w:rPr>
          <w:rFonts w:ascii="Abadi" w:hAnsi="Abadi"/>
          <w:sz w:val="24"/>
          <w:szCs w:val="24"/>
          <w:lang w:val="en-US"/>
        </w:rPr>
      </w:pPr>
    </w:p>
    <w:p w14:paraId="6A790FDC" w14:textId="77777777" w:rsidR="00DF147D" w:rsidRPr="00FF37C1" w:rsidRDefault="00000000" w:rsidP="00A7547F">
      <w:pPr>
        <w:ind w:right="-90" w:firstLine="720"/>
        <w:jc w:val="both"/>
        <w:rPr>
          <w:rFonts w:ascii="Abadi" w:hAnsi="Abadi"/>
          <w:sz w:val="24"/>
          <w:szCs w:val="24"/>
          <w:lang w:val="en-US"/>
        </w:rPr>
      </w:pPr>
      <w:r>
        <w:rPr>
          <w:rFonts w:ascii="Abadi" w:eastAsia="Calibri" w:hAnsi="Abadi" w:cs="Calibri"/>
          <w:color w:val="1A1A1A"/>
          <w:sz w:val="24"/>
          <w:szCs w:val="24"/>
          <w:lang w:val="en-US"/>
        </w:rPr>
        <w:t>The FARC dissidents (primarily the Estado Mayor Central) and the Colombian ELN maintain active presence in Venezuelan border states, especially Apure, Táchira, and Zulia, where they control drug trafficking routes and illegal mining extraction economies. The Venezuelan transition process has not fundamentally altered this criminal geography.</w:t>
      </w:r>
    </w:p>
    <w:p w14:paraId="416261D5" w14:textId="77777777" w:rsidR="00DF147D" w:rsidRPr="00FF37C1" w:rsidRDefault="00DF147D" w:rsidP="00A7547F">
      <w:pPr>
        <w:ind w:right="-90"/>
        <w:jc w:val="both"/>
        <w:rPr>
          <w:rFonts w:ascii="Abadi" w:hAnsi="Abadi"/>
          <w:sz w:val="24"/>
          <w:szCs w:val="24"/>
          <w:lang w:val="en-US"/>
        </w:rPr>
      </w:pPr>
    </w:p>
    <w:tbl>
      <w:tblPr>
        <w:tblW w:w="10170" w:type="dxa"/>
        <w:tblBorders>
          <w:top w:val="none" w:sz="0" w:space="0" w:color="FFFFFF"/>
          <w:left w:val="none" w:sz="0" w:space="0" w:color="FFFFFF"/>
          <w:bottom w:val="single" w:sz="12" w:space="0" w:color="CC0000"/>
          <w:right w:val="none" w:sz="0" w:space="0" w:color="FFFFFF"/>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170"/>
      </w:tblGrid>
      <w:tr w:rsidR="00DF147D" w:rsidRPr="00FF37C1" w14:paraId="77F5FE8E" w14:textId="77777777" w:rsidTr="0018255F">
        <w:tblPrEx>
          <w:tblCellMar>
            <w:top w:w="0" w:type="dxa"/>
            <w:bottom w:w="0" w:type="dxa"/>
          </w:tblCellMar>
        </w:tblPrEx>
        <w:tc>
          <w:tcPr>
            <w:tcW w:w="10170" w:type="dxa"/>
            <w:tcBorders>
              <w:top w:val="none" w:sz="0" w:space="0" w:color="FFFFFF"/>
              <w:left w:val="none" w:sz="0" w:space="0" w:color="FFFFFF"/>
              <w:bottom w:val="none" w:sz="0" w:space="0" w:color="FFFFFF"/>
              <w:right w:val="none" w:sz="0" w:space="0" w:color="FFFFFF"/>
            </w:tcBorders>
            <w:shd w:val="clear" w:color="auto" w:fill="111E35"/>
            <w:tcMar>
              <w:top w:w="100" w:type="dxa"/>
              <w:left w:w="200" w:type="dxa"/>
              <w:bottom w:w="100" w:type="dxa"/>
              <w:right w:w="200" w:type="dxa"/>
            </w:tcMar>
          </w:tcPr>
          <w:p w14:paraId="76500C55" w14:textId="77777777" w:rsidR="00DF147D" w:rsidRPr="00FF37C1" w:rsidRDefault="00000000" w:rsidP="00A7547F">
            <w:pPr>
              <w:ind w:right="-90"/>
              <w:jc w:val="both"/>
              <w:rPr>
                <w:rFonts w:ascii="Abadi" w:hAnsi="Abadi"/>
                <w:sz w:val="24"/>
                <w:szCs w:val="24"/>
                <w:lang w:val="en-US"/>
              </w:rPr>
            </w:pPr>
            <w:r>
              <w:rPr>
                <w:rFonts w:ascii="Abadi" w:eastAsia="Calibri" w:hAnsi="Abadi" w:cs="Calibri"/>
                <w:b/>
                <w:bCs/>
                <w:color w:val="FFFFFF"/>
                <w:sz w:val="24"/>
                <w:szCs w:val="24"/>
                <w:lang w:val="en-US"/>
              </w:rPr>
              <w:t>9.  OPPORTUNITY MATRIX AND STRATEGIC RECOMMENDATIONS</w:t>
            </w:r>
          </w:p>
        </w:tc>
      </w:tr>
    </w:tbl>
    <w:p w14:paraId="087C6AAA" w14:textId="77777777" w:rsidR="0018255F" w:rsidRDefault="0018255F" w:rsidP="00A7547F">
      <w:pPr>
        <w:pBdr>
          <w:bottom w:val="single" w:sz="6" w:space="0" w:color="CC0000"/>
        </w:pBdr>
        <w:ind w:right="-90"/>
        <w:jc w:val="both"/>
        <w:rPr>
          <w:rFonts w:ascii="Abadi" w:eastAsia="Calibri" w:hAnsi="Abadi" w:cs="Calibri"/>
          <w:b/>
          <w:bCs/>
          <w:color w:val="1A1A1A"/>
          <w:sz w:val="24"/>
          <w:szCs w:val="24"/>
          <w:lang w:val="en-US"/>
        </w:rPr>
      </w:pPr>
    </w:p>
    <w:p w14:paraId="33337A28" w14:textId="0098FF07" w:rsidR="00DF147D" w:rsidRDefault="00000000" w:rsidP="00A7547F">
      <w:pPr>
        <w:pBdr>
          <w:bottom w:val="single" w:sz="6" w:space="0" w:color="CC0000"/>
        </w:pBdr>
        <w:ind w:right="-90"/>
        <w:jc w:val="both"/>
        <w:rPr>
          <w:rFonts w:ascii="Abadi" w:eastAsia="Calibri" w:hAnsi="Abadi" w:cs="Calibri"/>
          <w:b/>
          <w:bCs/>
          <w:color w:val="1A1A1A"/>
          <w:sz w:val="24"/>
          <w:szCs w:val="24"/>
          <w:lang w:val="en-US"/>
        </w:rPr>
      </w:pPr>
      <w:r>
        <w:rPr>
          <w:rFonts w:ascii="Abadi" w:eastAsia="Calibri" w:hAnsi="Abadi" w:cs="Calibri"/>
          <w:b/>
          <w:bCs/>
          <w:color w:val="1A1A1A"/>
          <w:sz w:val="24"/>
          <w:szCs w:val="24"/>
          <w:lang w:val="en-US"/>
        </w:rPr>
        <w:t>9.1  Opportunity Matrix for Private Operators</w:t>
      </w:r>
    </w:p>
    <w:p w14:paraId="3E623926" w14:textId="77777777" w:rsidR="0018255F" w:rsidRPr="00FF37C1" w:rsidRDefault="0018255F" w:rsidP="00A7547F">
      <w:pPr>
        <w:pBdr>
          <w:bottom w:val="single" w:sz="6" w:space="0" w:color="CC0000"/>
        </w:pBdr>
        <w:ind w:right="-90"/>
        <w:jc w:val="both"/>
        <w:rPr>
          <w:rFonts w:ascii="Abadi" w:hAnsi="Abadi"/>
          <w:sz w:val="24"/>
          <w:szCs w:val="24"/>
          <w:lang w:val="en-US"/>
        </w:rPr>
      </w:pPr>
    </w:p>
    <w:tbl>
      <w:tblPr>
        <w:tblW w:w="10170" w:type="dxa"/>
        <w:tblBorders>
          <w:top w:val="single" w:sz="4" w:space="0" w:color="999999"/>
          <w:left w:val="single" w:sz="4" w:space="0" w:color="999999"/>
          <w:bottom w:val="single" w:sz="4" w:space="0" w:color="999999"/>
          <w:right w:val="single" w:sz="4" w:space="0" w:color="999999"/>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20"/>
        <w:gridCol w:w="3528"/>
        <w:gridCol w:w="1680"/>
        <w:gridCol w:w="2442"/>
      </w:tblGrid>
      <w:tr w:rsidR="00DF147D" w:rsidRPr="0018255F" w14:paraId="377DCEC4" w14:textId="77777777" w:rsidTr="0018255F">
        <w:tblPrEx>
          <w:tblCellMar>
            <w:top w:w="0" w:type="dxa"/>
            <w:bottom w:w="0" w:type="dxa"/>
          </w:tblCellMar>
        </w:tblPrEx>
        <w:tc>
          <w:tcPr>
            <w:tcW w:w="2520" w:type="dxa"/>
            <w:tcBorders>
              <w:top w:val="none" w:sz="0" w:space="0" w:color="FFFFFF"/>
              <w:left w:val="none" w:sz="0" w:space="0" w:color="FFFFFF"/>
              <w:bottom w:val="none" w:sz="0" w:space="0" w:color="FFFFFF"/>
              <w:right w:val="single" w:sz="4" w:space="0" w:color="666666"/>
            </w:tcBorders>
            <w:shd w:val="clear" w:color="auto" w:fill="1B2A4A"/>
            <w:tcMar>
              <w:top w:w="60" w:type="dxa"/>
              <w:left w:w="100" w:type="dxa"/>
              <w:bottom w:w="60" w:type="dxa"/>
              <w:right w:w="80" w:type="dxa"/>
            </w:tcMar>
            <w:vAlign w:val="center"/>
          </w:tcPr>
          <w:p w14:paraId="58E23203" w14:textId="77777777" w:rsidR="00DF147D" w:rsidRPr="0018255F" w:rsidRDefault="00000000" w:rsidP="0018255F">
            <w:pPr>
              <w:ind w:right="-90"/>
              <w:jc w:val="center"/>
              <w:rPr>
                <w:rFonts w:ascii="Abadi" w:hAnsi="Abadi"/>
                <w:sz w:val="22"/>
                <w:szCs w:val="22"/>
                <w:lang w:val="en-US"/>
              </w:rPr>
            </w:pPr>
            <w:r>
              <w:rPr>
                <w:rFonts w:ascii="Abadi" w:eastAsia="Calibri" w:hAnsi="Abadi" w:cs="Calibri"/>
                <w:b/>
                <w:bCs/>
                <w:color w:val="FFFFFF"/>
                <w:sz w:val="22"/>
                <w:szCs w:val="22"/>
                <w:lang w:val="en-US"/>
              </w:rPr>
              <w:t>Strategic Vector</w:t>
            </w:r>
          </w:p>
        </w:tc>
        <w:tc>
          <w:tcPr>
            <w:tcW w:w="3528" w:type="dxa"/>
            <w:tcBorders>
              <w:top w:val="none" w:sz="0" w:space="0" w:color="FFFFFF"/>
              <w:left w:val="none" w:sz="0" w:space="0" w:color="FFFFFF"/>
              <w:bottom w:val="none" w:sz="0" w:space="0" w:color="FFFFFF"/>
              <w:right w:val="single" w:sz="4" w:space="0" w:color="666666"/>
            </w:tcBorders>
            <w:shd w:val="clear" w:color="auto" w:fill="1B2A4A"/>
            <w:tcMar>
              <w:top w:w="60" w:type="dxa"/>
              <w:left w:w="100" w:type="dxa"/>
              <w:bottom w:w="60" w:type="dxa"/>
              <w:right w:w="80" w:type="dxa"/>
            </w:tcMar>
            <w:vAlign w:val="center"/>
          </w:tcPr>
          <w:p w14:paraId="78A582FD" w14:textId="77777777" w:rsidR="00DF147D" w:rsidRPr="0018255F" w:rsidRDefault="00000000" w:rsidP="0018255F">
            <w:pPr>
              <w:ind w:right="-90"/>
              <w:jc w:val="center"/>
              <w:rPr>
                <w:rFonts w:ascii="Abadi" w:hAnsi="Abadi"/>
                <w:sz w:val="22"/>
                <w:szCs w:val="22"/>
                <w:lang w:val="en-US"/>
              </w:rPr>
            </w:pPr>
            <w:r>
              <w:rPr>
                <w:rFonts w:ascii="Abadi" w:eastAsia="Calibri" w:hAnsi="Abadi" w:cs="Calibri"/>
                <w:b/>
                <w:bCs/>
                <w:color w:val="FFFFFF"/>
                <w:sz w:val="22"/>
                <w:szCs w:val="22"/>
                <w:lang w:val="en-US"/>
              </w:rPr>
              <w:t>Opportunity Description</w:t>
            </w:r>
          </w:p>
        </w:tc>
        <w:tc>
          <w:tcPr>
            <w:tcW w:w="1680" w:type="dxa"/>
            <w:tcBorders>
              <w:top w:val="none" w:sz="0" w:space="0" w:color="FFFFFF"/>
              <w:left w:val="none" w:sz="0" w:space="0" w:color="FFFFFF"/>
              <w:bottom w:val="none" w:sz="0" w:space="0" w:color="FFFFFF"/>
              <w:right w:val="single" w:sz="4" w:space="0" w:color="666666"/>
            </w:tcBorders>
            <w:shd w:val="clear" w:color="auto" w:fill="1B2A4A"/>
            <w:tcMar>
              <w:top w:w="60" w:type="dxa"/>
              <w:left w:w="100" w:type="dxa"/>
              <w:bottom w:w="60" w:type="dxa"/>
              <w:right w:w="80" w:type="dxa"/>
            </w:tcMar>
            <w:vAlign w:val="center"/>
          </w:tcPr>
          <w:p w14:paraId="009F2551" w14:textId="77777777" w:rsidR="00DF147D" w:rsidRPr="0018255F" w:rsidRDefault="00000000" w:rsidP="0018255F">
            <w:pPr>
              <w:ind w:right="-90"/>
              <w:jc w:val="center"/>
              <w:rPr>
                <w:rFonts w:ascii="Abadi" w:hAnsi="Abadi"/>
                <w:sz w:val="22"/>
                <w:szCs w:val="22"/>
                <w:lang w:val="en-US"/>
              </w:rPr>
            </w:pPr>
            <w:r>
              <w:rPr>
                <w:rFonts w:ascii="Abadi" w:eastAsia="Calibri" w:hAnsi="Abadi" w:cs="Calibri"/>
                <w:b/>
                <w:bCs/>
                <w:color w:val="FFFFFF"/>
                <w:sz w:val="22"/>
                <w:szCs w:val="22"/>
                <w:lang w:val="en-US"/>
              </w:rPr>
              <w:t>Horizon</w:t>
            </w:r>
          </w:p>
        </w:tc>
        <w:tc>
          <w:tcPr>
            <w:tcW w:w="2442" w:type="dxa"/>
            <w:tcBorders>
              <w:top w:val="none" w:sz="0" w:space="0" w:color="FFFFFF"/>
              <w:left w:val="none" w:sz="0" w:space="0" w:color="FFFFFF"/>
              <w:bottom w:val="none" w:sz="0" w:space="0" w:color="FFFFFF"/>
              <w:right w:val="single" w:sz="4" w:space="0" w:color="666666"/>
            </w:tcBorders>
            <w:shd w:val="clear" w:color="auto" w:fill="1B2A4A"/>
            <w:tcMar>
              <w:top w:w="60" w:type="dxa"/>
              <w:left w:w="100" w:type="dxa"/>
              <w:bottom w:w="60" w:type="dxa"/>
              <w:right w:w="80" w:type="dxa"/>
            </w:tcMar>
            <w:vAlign w:val="center"/>
          </w:tcPr>
          <w:p w14:paraId="74673C36" w14:textId="77777777" w:rsidR="00DF147D" w:rsidRPr="0018255F" w:rsidRDefault="00000000" w:rsidP="0018255F">
            <w:pPr>
              <w:ind w:right="-90"/>
              <w:jc w:val="center"/>
              <w:rPr>
                <w:rFonts w:ascii="Abadi" w:hAnsi="Abadi"/>
                <w:sz w:val="22"/>
                <w:szCs w:val="22"/>
                <w:lang w:val="en-US"/>
              </w:rPr>
            </w:pPr>
            <w:r>
              <w:rPr>
                <w:rFonts w:ascii="Abadi" w:eastAsia="Calibri" w:hAnsi="Abadi" w:cs="Calibri"/>
                <w:b/>
                <w:bCs/>
                <w:color w:val="FFFFFF"/>
                <w:sz w:val="22"/>
                <w:szCs w:val="22"/>
                <w:lang w:val="en-US"/>
              </w:rPr>
              <w:t>Risk Level</w:t>
            </w:r>
          </w:p>
        </w:tc>
      </w:tr>
      <w:tr w:rsidR="00DF147D" w:rsidRPr="0018255F" w14:paraId="3C010851" w14:textId="77777777" w:rsidTr="0018255F">
        <w:tblPrEx>
          <w:tblCellMar>
            <w:top w:w="0" w:type="dxa"/>
            <w:bottom w:w="0" w:type="dxa"/>
          </w:tblCellMar>
        </w:tblPrEx>
        <w:tc>
          <w:tcPr>
            <w:tcW w:w="2520" w:type="dxa"/>
            <w:tcBorders>
              <w:top w:val="single" w:sz="2" w:space="0" w:color="CCCCCC"/>
              <w:left w:val="none" w:sz="0" w:space="0" w:color="FFFFFF"/>
              <w:bottom w:val="single" w:sz="2" w:space="0" w:color="CCCCCC"/>
              <w:right w:val="single" w:sz="2" w:space="0" w:color="CCCCCC"/>
            </w:tcBorders>
            <w:shd w:val="clear" w:color="auto" w:fill="FFFFFF"/>
            <w:tcMar>
              <w:top w:w="50" w:type="dxa"/>
              <w:left w:w="100" w:type="dxa"/>
              <w:bottom w:w="50" w:type="dxa"/>
              <w:right w:w="80" w:type="dxa"/>
            </w:tcMar>
            <w:vAlign w:val="center"/>
          </w:tcPr>
          <w:p w14:paraId="707210D6"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Servicios Petroleros Venezuela</w:t>
            </w:r>
          </w:p>
        </w:tc>
        <w:tc>
          <w:tcPr>
            <w:tcW w:w="3528" w:type="dxa"/>
            <w:tcBorders>
              <w:top w:val="single" w:sz="2" w:space="0" w:color="CCCCCC"/>
              <w:left w:val="none" w:sz="0" w:space="0" w:color="FFFFFF"/>
              <w:bottom w:val="single" w:sz="2" w:space="0" w:color="CCCCCC"/>
              <w:right w:val="single" w:sz="2" w:space="0" w:color="CCCCCC"/>
            </w:tcBorders>
            <w:shd w:val="clear" w:color="auto" w:fill="FFFFFF"/>
            <w:tcMar>
              <w:top w:w="50" w:type="dxa"/>
              <w:left w:w="100" w:type="dxa"/>
              <w:bottom w:w="50" w:type="dxa"/>
              <w:right w:w="80" w:type="dxa"/>
            </w:tcMar>
            <w:vAlign w:val="center"/>
          </w:tcPr>
          <w:p w14:paraId="62FCE790"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Empresas de servicios para rehabilitación de infraestructura PDVSA / nuevas joint ventures bajo GL-41 expandida</w:t>
            </w:r>
          </w:p>
        </w:tc>
        <w:tc>
          <w:tcPr>
            <w:tcW w:w="1680" w:type="dxa"/>
            <w:tcBorders>
              <w:top w:val="single" w:sz="2" w:space="0" w:color="CCCCCC"/>
              <w:left w:val="none" w:sz="0" w:space="0" w:color="FFFFFF"/>
              <w:bottom w:val="single" w:sz="2" w:space="0" w:color="CCCCCC"/>
              <w:right w:val="single" w:sz="2" w:space="0" w:color="CCCCCC"/>
            </w:tcBorders>
            <w:shd w:val="clear" w:color="auto" w:fill="FFFFFF"/>
            <w:tcMar>
              <w:top w:w="50" w:type="dxa"/>
              <w:left w:w="100" w:type="dxa"/>
              <w:bottom w:w="50" w:type="dxa"/>
              <w:right w:w="80" w:type="dxa"/>
            </w:tcMar>
            <w:vAlign w:val="center"/>
          </w:tcPr>
          <w:p w14:paraId="1B4C690A"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2025-2028</w:t>
            </w:r>
          </w:p>
        </w:tc>
        <w:tc>
          <w:tcPr>
            <w:tcW w:w="2442" w:type="dxa"/>
            <w:tcBorders>
              <w:top w:val="single" w:sz="2" w:space="0" w:color="CCCCCC"/>
              <w:left w:val="none" w:sz="0" w:space="0" w:color="FFFFFF"/>
              <w:bottom w:val="single" w:sz="2" w:space="0" w:color="CCCCCC"/>
              <w:right w:val="single" w:sz="2" w:space="0" w:color="CCCCCC"/>
            </w:tcBorders>
            <w:shd w:val="clear" w:color="auto" w:fill="FFFFFF"/>
            <w:tcMar>
              <w:top w:w="50" w:type="dxa"/>
              <w:left w:w="100" w:type="dxa"/>
              <w:bottom w:w="50" w:type="dxa"/>
              <w:right w:w="80" w:type="dxa"/>
            </w:tcMar>
            <w:vAlign w:val="center"/>
          </w:tcPr>
          <w:p w14:paraId="5D66636C"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Alto / Alto retorno</w:t>
            </w:r>
          </w:p>
        </w:tc>
      </w:tr>
      <w:tr w:rsidR="00DF147D" w:rsidRPr="0018255F" w14:paraId="22377A0C" w14:textId="77777777" w:rsidTr="0018255F">
        <w:tblPrEx>
          <w:tblCellMar>
            <w:top w:w="0" w:type="dxa"/>
            <w:bottom w:w="0" w:type="dxa"/>
          </w:tblCellMar>
        </w:tblPrEx>
        <w:tc>
          <w:tcPr>
            <w:tcW w:w="2520" w:type="dxa"/>
            <w:tcBorders>
              <w:top w:val="single" w:sz="2" w:space="0" w:color="CCCCCC"/>
              <w:left w:val="none" w:sz="0" w:space="0" w:color="FFFFFF"/>
              <w:bottom w:val="single" w:sz="2" w:space="0" w:color="CCCCCC"/>
              <w:right w:val="single" w:sz="2" w:space="0" w:color="CCCCCC"/>
            </w:tcBorders>
            <w:shd w:val="clear" w:color="auto" w:fill="F2F2F2"/>
            <w:tcMar>
              <w:top w:w="50" w:type="dxa"/>
              <w:left w:w="100" w:type="dxa"/>
              <w:bottom w:w="50" w:type="dxa"/>
              <w:right w:w="80" w:type="dxa"/>
            </w:tcMar>
            <w:vAlign w:val="center"/>
          </w:tcPr>
          <w:p w14:paraId="0EA8DC5A"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Natural Gas (Dragón / Mariscal Sucre)</w:t>
            </w:r>
          </w:p>
        </w:tc>
        <w:tc>
          <w:tcPr>
            <w:tcW w:w="3528" w:type="dxa"/>
            <w:tcBorders>
              <w:top w:val="single" w:sz="2" w:space="0" w:color="CCCCCC"/>
              <w:left w:val="none" w:sz="0" w:space="0" w:color="FFFFFF"/>
              <w:bottom w:val="single" w:sz="2" w:space="0" w:color="CCCCCC"/>
              <w:right w:val="single" w:sz="2" w:space="0" w:color="CCCCCC"/>
            </w:tcBorders>
            <w:shd w:val="clear" w:color="auto" w:fill="F2F2F2"/>
            <w:tcMar>
              <w:top w:w="50" w:type="dxa"/>
              <w:left w:w="100" w:type="dxa"/>
              <w:bottom w:w="50" w:type="dxa"/>
              <w:right w:w="80" w:type="dxa"/>
            </w:tcMar>
            <w:vAlign w:val="center"/>
          </w:tcPr>
          <w:p w14:paraId="7F1A22C3"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Infraestructura de producción y transporte de gas offshore para mercado europeo y caribeño</w:t>
            </w:r>
          </w:p>
        </w:tc>
        <w:tc>
          <w:tcPr>
            <w:tcW w:w="1680" w:type="dxa"/>
            <w:tcBorders>
              <w:top w:val="single" w:sz="2" w:space="0" w:color="CCCCCC"/>
              <w:left w:val="none" w:sz="0" w:space="0" w:color="FFFFFF"/>
              <w:bottom w:val="single" w:sz="2" w:space="0" w:color="CCCCCC"/>
              <w:right w:val="single" w:sz="2" w:space="0" w:color="CCCCCC"/>
            </w:tcBorders>
            <w:shd w:val="clear" w:color="auto" w:fill="F2F2F2"/>
            <w:tcMar>
              <w:top w:w="50" w:type="dxa"/>
              <w:left w:w="100" w:type="dxa"/>
              <w:bottom w:w="50" w:type="dxa"/>
              <w:right w:w="80" w:type="dxa"/>
            </w:tcMar>
            <w:vAlign w:val="center"/>
          </w:tcPr>
          <w:p w14:paraId="28B48A47"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2026-2031</w:t>
            </w:r>
          </w:p>
        </w:tc>
        <w:tc>
          <w:tcPr>
            <w:tcW w:w="2442" w:type="dxa"/>
            <w:tcBorders>
              <w:top w:val="single" w:sz="2" w:space="0" w:color="CCCCCC"/>
              <w:left w:val="none" w:sz="0" w:space="0" w:color="FFFFFF"/>
              <w:bottom w:val="single" w:sz="2" w:space="0" w:color="CCCCCC"/>
              <w:right w:val="single" w:sz="2" w:space="0" w:color="CCCCCC"/>
            </w:tcBorders>
            <w:shd w:val="clear" w:color="auto" w:fill="F2F2F2"/>
            <w:tcMar>
              <w:top w:w="50" w:type="dxa"/>
              <w:left w:w="100" w:type="dxa"/>
              <w:bottom w:w="50" w:type="dxa"/>
              <w:right w:w="80" w:type="dxa"/>
            </w:tcMar>
            <w:vAlign w:val="center"/>
          </w:tcPr>
          <w:p w14:paraId="31298DF3"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Alto / Long-term</w:t>
            </w:r>
          </w:p>
        </w:tc>
      </w:tr>
      <w:tr w:rsidR="00DF147D" w:rsidRPr="0018255F" w14:paraId="5AA2FA7C" w14:textId="77777777" w:rsidTr="0018255F">
        <w:tblPrEx>
          <w:tblCellMar>
            <w:top w:w="0" w:type="dxa"/>
            <w:bottom w:w="0" w:type="dxa"/>
          </w:tblCellMar>
        </w:tblPrEx>
        <w:tc>
          <w:tcPr>
            <w:tcW w:w="2520" w:type="dxa"/>
            <w:tcBorders>
              <w:top w:val="single" w:sz="2" w:space="0" w:color="CCCCCC"/>
              <w:left w:val="none" w:sz="0" w:space="0" w:color="FFFFFF"/>
              <w:bottom w:val="single" w:sz="2" w:space="0" w:color="CCCCCC"/>
              <w:right w:val="single" w:sz="2" w:space="0" w:color="CCCCCC"/>
            </w:tcBorders>
            <w:shd w:val="clear" w:color="auto" w:fill="FFFFFF"/>
            <w:tcMar>
              <w:top w:w="50" w:type="dxa"/>
              <w:left w:w="100" w:type="dxa"/>
              <w:bottom w:w="50" w:type="dxa"/>
              <w:right w:w="80" w:type="dxa"/>
            </w:tcMar>
            <w:vAlign w:val="center"/>
          </w:tcPr>
          <w:p w14:paraId="4551DEDF"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Electricidad (PPP / Concesiones)</w:t>
            </w:r>
          </w:p>
        </w:tc>
        <w:tc>
          <w:tcPr>
            <w:tcW w:w="3528" w:type="dxa"/>
            <w:tcBorders>
              <w:top w:val="single" w:sz="2" w:space="0" w:color="CCCCCC"/>
              <w:left w:val="none" w:sz="0" w:space="0" w:color="FFFFFF"/>
              <w:bottom w:val="single" w:sz="2" w:space="0" w:color="CCCCCC"/>
              <w:right w:val="single" w:sz="2" w:space="0" w:color="CCCCCC"/>
            </w:tcBorders>
            <w:shd w:val="clear" w:color="auto" w:fill="FFFFFF"/>
            <w:tcMar>
              <w:top w:w="50" w:type="dxa"/>
              <w:left w:w="100" w:type="dxa"/>
              <w:bottom w:w="50" w:type="dxa"/>
              <w:right w:w="80" w:type="dxa"/>
            </w:tcMar>
            <w:vAlign w:val="center"/>
          </w:tcPr>
          <w:p w14:paraId="70DFF9E9"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Rehabilitación de plantas térmicas y generación distribuida renovable bajo esquemas de concesión</w:t>
            </w:r>
          </w:p>
        </w:tc>
        <w:tc>
          <w:tcPr>
            <w:tcW w:w="1680" w:type="dxa"/>
            <w:tcBorders>
              <w:top w:val="single" w:sz="2" w:space="0" w:color="CCCCCC"/>
              <w:left w:val="none" w:sz="0" w:space="0" w:color="FFFFFF"/>
              <w:bottom w:val="single" w:sz="2" w:space="0" w:color="CCCCCC"/>
              <w:right w:val="single" w:sz="2" w:space="0" w:color="CCCCCC"/>
            </w:tcBorders>
            <w:shd w:val="clear" w:color="auto" w:fill="FFFFFF"/>
            <w:tcMar>
              <w:top w:w="50" w:type="dxa"/>
              <w:left w:w="100" w:type="dxa"/>
              <w:bottom w:w="50" w:type="dxa"/>
              <w:right w:w="80" w:type="dxa"/>
            </w:tcMar>
            <w:vAlign w:val="center"/>
          </w:tcPr>
          <w:p w14:paraId="5B8344DF"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2026-2030</w:t>
            </w:r>
          </w:p>
        </w:tc>
        <w:tc>
          <w:tcPr>
            <w:tcW w:w="2442" w:type="dxa"/>
            <w:tcBorders>
              <w:top w:val="single" w:sz="2" w:space="0" w:color="CCCCCC"/>
              <w:left w:val="none" w:sz="0" w:space="0" w:color="FFFFFF"/>
              <w:bottom w:val="single" w:sz="2" w:space="0" w:color="CCCCCC"/>
              <w:right w:val="single" w:sz="2" w:space="0" w:color="CCCCCC"/>
            </w:tcBorders>
            <w:shd w:val="clear" w:color="auto" w:fill="FFFFFF"/>
            <w:tcMar>
              <w:top w:w="50" w:type="dxa"/>
              <w:left w:w="100" w:type="dxa"/>
              <w:bottom w:w="50" w:type="dxa"/>
              <w:right w:w="80" w:type="dxa"/>
            </w:tcMar>
            <w:vAlign w:val="center"/>
          </w:tcPr>
          <w:p w14:paraId="55F60823"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Medio-Alto</w:t>
            </w:r>
          </w:p>
        </w:tc>
      </w:tr>
      <w:tr w:rsidR="00DF147D" w:rsidRPr="0018255F" w14:paraId="00D4950C" w14:textId="77777777" w:rsidTr="0018255F">
        <w:tblPrEx>
          <w:tblCellMar>
            <w:top w:w="0" w:type="dxa"/>
            <w:bottom w:w="0" w:type="dxa"/>
          </w:tblCellMar>
        </w:tblPrEx>
        <w:tc>
          <w:tcPr>
            <w:tcW w:w="2520" w:type="dxa"/>
            <w:tcBorders>
              <w:top w:val="single" w:sz="2" w:space="0" w:color="CCCCCC"/>
              <w:left w:val="none" w:sz="0" w:space="0" w:color="FFFFFF"/>
              <w:bottom w:val="single" w:sz="2" w:space="0" w:color="CCCCCC"/>
              <w:right w:val="single" w:sz="2" w:space="0" w:color="CCCCCC"/>
            </w:tcBorders>
            <w:shd w:val="clear" w:color="auto" w:fill="F2F2F2"/>
            <w:tcMar>
              <w:top w:w="50" w:type="dxa"/>
              <w:left w:w="100" w:type="dxa"/>
              <w:bottom w:w="50" w:type="dxa"/>
              <w:right w:w="80" w:type="dxa"/>
            </w:tcMar>
            <w:vAlign w:val="center"/>
          </w:tcPr>
          <w:p w14:paraId="397043BC"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Minerales Críticos (AMO)</w:t>
            </w:r>
          </w:p>
        </w:tc>
        <w:tc>
          <w:tcPr>
            <w:tcW w:w="3528" w:type="dxa"/>
            <w:tcBorders>
              <w:top w:val="single" w:sz="2" w:space="0" w:color="CCCCCC"/>
              <w:left w:val="none" w:sz="0" w:space="0" w:color="FFFFFF"/>
              <w:bottom w:val="single" w:sz="2" w:space="0" w:color="CCCCCC"/>
              <w:right w:val="single" w:sz="2" w:space="0" w:color="CCCCCC"/>
            </w:tcBorders>
            <w:shd w:val="clear" w:color="auto" w:fill="F2F2F2"/>
            <w:tcMar>
              <w:top w:w="50" w:type="dxa"/>
              <w:left w:w="100" w:type="dxa"/>
              <w:bottom w:w="50" w:type="dxa"/>
              <w:right w:w="80" w:type="dxa"/>
            </w:tcMar>
            <w:vAlign w:val="center"/>
          </w:tcPr>
          <w:p w14:paraId="22E35139"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Exploración y desarrollo de coltán, tierras raras; contingente a normalización de gobernanza</w:t>
            </w:r>
          </w:p>
        </w:tc>
        <w:tc>
          <w:tcPr>
            <w:tcW w:w="1680" w:type="dxa"/>
            <w:tcBorders>
              <w:top w:val="single" w:sz="2" w:space="0" w:color="CCCCCC"/>
              <w:left w:val="none" w:sz="0" w:space="0" w:color="FFFFFF"/>
              <w:bottom w:val="single" w:sz="2" w:space="0" w:color="CCCCCC"/>
              <w:right w:val="single" w:sz="2" w:space="0" w:color="CCCCCC"/>
            </w:tcBorders>
            <w:shd w:val="clear" w:color="auto" w:fill="F2F2F2"/>
            <w:tcMar>
              <w:top w:w="50" w:type="dxa"/>
              <w:left w:w="100" w:type="dxa"/>
              <w:bottom w:w="50" w:type="dxa"/>
              <w:right w:w="80" w:type="dxa"/>
            </w:tcMar>
            <w:vAlign w:val="center"/>
          </w:tcPr>
          <w:p w14:paraId="05AFCDF4"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2027-2035</w:t>
            </w:r>
          </w:p>
        </w:tc>
        <w:tc>
          <w:tcPr>
            <w:tcW w:w="2442" w:type="dxa"/>
            <w:tcBorders>
              <w:top w:val="single" w:sz="2" w:space="0" w:color="CCCCCC"/>
              <w:left w:val="none" w:sz="0" w:space="0" w:color="FFFFFF"/>
              <w:bottom w:val="single" w:sz="2" w:space="0" w:color="CCCCCC"/>
              <w:right w:val="single" w:sz="2" w:space="0" w:color="CCCCCC"/>
            </w:tcBorders>
            <w:shd w:val="clear" w:color="auto" w:fill="F2F2F2"/>
            <w:tcMar>
              <w:top w:w="50" w:type="dxa"/>
              <w:left w:w="100" w:type="dxa"/>
              <w:bottom w:w="50" w:type="dxa"/>
              <w:right w:w="80" w:type="dxa"/>
            </w:tcMar>
            <w:vAlign w:val="center"/>
          </w:tcPr>
          <w:p w14:paraId="447CBFBD"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Alto / Long-term</w:t>
            </w:r>
          </w:p>
        </w:tc>
      </w:tr>
      <w:tr w:rsidR="00DF147D" w:rsidRPr="0018255F" w14:paraId="76B842A2" w14:textId="77777777" w:rsidTr="0018255F">
        <w:tblPrEx>
          <w:tblCellMar>
            <w:top w:w="0" w:type="dxa"/>
            <w:bottom w:w="0" w:type="dxa"/>
          </w:tblCellMar>
        </w:tblPrEx>
        <w:tc>
          <w:tcPr>
            <w:tcW w:w="2520" w:type="dxa"/>
            <w:tcBorders>
              <w:top w:val="single" w:sz="2" w:space="0" w:color="CCCCCC"/>
              <w:left w:val="none" w:sz="0" w:space="0" w:color="FFFFFF"/>
              <w:bottom w:val="single" w:sz="2" w:space="0" w:color="CCCCCC"/>
              <w:right w:val="single" w:sz="2" w:space="0" w:color="CCCCCC"/>
            </w:tcBorders>
            <w:shd w:val="clear" w:color="auto" w:fill="FFFFFF"/>
            <w:tcMar>
              <w:top w:w="50" w:type="dxa"/>
              <w:left w:w="100" w:type="dxa"/>
              <w:bottom w:w="50" w:type="dxa"/>
              <w:right w:w="80" w:type="dxa"/>
            </w:tcMar>
            <w:vAlign w:val="center"/>
          </w:tcPr>
          <w:p w14:paraId="7666A999"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Agroindustria y Alimentos</w:t>
            </w:r>
          </w:p>
        </w:tc>
        <w:tc>
          <w:tcPr>
            <w:tcW w:w="3528" w:type="dxa"/>
            <w:tcBorders>
              <w:top w:val="single" w:sz="2" w:space="0" w:color="CCCCCC"/>
              <w:left w:val="none" w:sz="0" w:space="0" w:color="FFFFFF"/>
              <w:bottom w:val="single" w:sz="2" w:space="0" w:color="CCCCCC"/>
              <w:right w:val="single" w:sz="2" w:space="0" w:color="CCCCCC"/>
            </w:tcBorders>
            <w:shd w:val="clear" w:color="auto" w:fill="FFFFFF"/>
            <w:tcMar>
              <w:top w:w="50" w:type="dxa"/>
              <w:left w:w="100" w:type="dxa"/>
              <w:bottom w:w="50" w:type="dxa"/>
              <w:right w:w="80" w:type="dxa"/>
            </w:tcMar>
            <w:vAlign w:val="center"/>
          </w:tcPr>
          <w:p w14:paraId="5B855448"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 xml:space="preserve">Recuperación de capacidad productiva en agro; alta demanda interna insatisfecha post-crisis</w:t>
            </w:r>
          </w:p>
        </w:tc>
        <w:tc>
          <w:tcPr>
            <w:tcW w:w="1680" w:type="dxa"/>
            <w:tcBorders>
              <w:top w:val="single" w:sz="2" w:space="0" w:color="CCCCCC"/>
              <w:left w:val="none" w:sz="0" w:space="0" w:color="FFFFFF"/>
              <w:bottom w:val="single" w:sz="2" w:space="0" w:color="CCCCCC"/>
              <w:right w:val="single" w:sz="2" w:space="0" w:color="CCCCCC"/>
            </w:tcBorders>
            <w:shd w:val="clear" w:color="auto" w:fill="FFFFFF"/>
            <w:tcMar>
              <w:top w:w="50" w:type="dxa"/>
              <w:left w:w="100" w:type="dxa"/>
              <w:bottom w:w="50" w:type="dxa"/>
              <w:right w:w="80" w:type="dxa"/>
            </w:tcMar>
            <w:vAlign w:val="center"/>
          </w:tcPr>
          <w:p w14:paraId="24FF43B9"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2025-2028</w:t>
            </w:r>
          </w:p>
        </w:tc>
        <w:tc>
          <w:tcPr>
            <w:tcW w:w="2442" w:type="dxa"/>
            <w:tcBorders>
              <w:top w:val="single" w:sz="2" w:space="0" w:color="CCCCCC"/>
              <w:left w:val="none" w:sz="0" w:space="0" w:color="FFFFFF"/>
              <w:bottom w:val="single" w:sz="2" w:space="0" w:color="CCCCCC"/>
              <w:right w:val="single" w:sz="2" w:space="0" w:color="CCCCCC"/>
            </w:tcBorders>
            <w:shd w:val="clear" w:color="auto" w:fill="FFFFFF"/>
            <w:tcMar>
              <w:top w:w="50" w:type="dxa"/>
              <w:left w:w="100" w:type="dxa"/>
              <w:bottom w:w="50" w:type="dxa"/>
              <w:right w:w="80" w:type="dxa"/>
            </w:tcMar>
            <w:vAlign w:val="center"/>
          </w:tcPr>
          <w:p w14:paraId="6FD5C375"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Medio</w:t>
            </w:r>
          </w:p>
        </w:tc>
      </w:tr>
      <w:tr w:rsidR="00DF147D" w:rsidRPr="0018255F" w14:paraId="7D50FB42" w14:textId="77777777" w:rsidTr="0018255F">
        <w:tblPrEx>
          <w:tblCellMar>
            <w:top w:w="0" w:type="dxa"/>
            <w:bottom w:w="0" w:type="dxa"/>
          </w:tblCellMar>
        </w:tblPrEx>
        <w:tc>
          <w:tcPr>
            <w:tcW w:w="2520" w:type="dxa"/>
            <w:tcBorders>
              <w:top w:val="single" w:sz="2" w:space="0" w:color="CCCCCC"/>
              <w:left w:val="none" w:sz="0" w:space="0" w:color="FFFFFF"/>
              <w:bottom w:val="single" w:sz="2" w:space="0" w:color="CCCCCC"/>
              <w:right w:val="single" w:sz="2" w:space="0" w:color="CCCCCC"/>
            </w:tcBorders>
            <w:shd w:val="clear" w:color="auto" w:fill="F2F2F2"/>
            <w:tcMar>
              <w:top w:w="50" w:type="dxa"/>
              <w:left w:w="100" w:type="dxa"/>
              <w:bottom w:w="50" w:type="dxa"/>
              <w:right w:w="80" w:type="dxa"/>
            </w:tcMar>
            <w:vAlign w:val="center"/>
          </w:tcPr>
          <w:p w14:paraId="15E126AF"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Logística y Transporte</w:t>
            </w:r>
          </w:p>
        </w:tc>
        <w:tc>
          <w:tcPr>
            <w:tcW w:w="3528" w:type="dxa"/>
            <w:tcBorders>
              <w:top w:val="single" w:sz="2" w:space="0" w:color="CCCCCC"/>
              <w:left w:val="none" w:sz="0" w:space="0" w:color="FFFFFF"/>
              <w:bottom w:val="single" w:sz="2" w:space="0" w:color="CCCCCC"/>
              <w:right w:val="single" w:sz="2" w:space="0" w:color="CCCCCC"/>
            </w:tcBorders>
            <w:shd w:val="clear" w:color="auto" w:fill="F2F2F2"/>
            <w:tcMar>
              <w:top w:w="50" w:type="dxa"/>
              <w:left w:w="100" w:type="dxa"/>
              <w:bottom w:w="50" w:type="dxa"/>
              <w:right w:w="80" w:type="dxa"/>
            </w:tcMar>
            <w:vAlign w:val="center"/>
          </w:tcPr>
          <w:p w14:paraId="7995B55A"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Rehabilitación de puertos, carreteras e infraestructura aeroportuaria; nearshoring LATAM</w:t>
            </w:r>
          </w:p>
        </w:tc>
        <w:tc>
          <w:tcPr>
            <w:tcW w:w="1680" w:type="dxa"/>
            <w:tcBorders>
              <w:top w:val="single" w:sz="2" w:space="0" w:color="CCCCCC"/>
              <w:left w:val="none" w:sz="0" w:space="0" w:color="FFFFFF"/>
              <w:bottom w:val="single" w:sz="2" w:space="0" w:color="CCCCCC"/>
              <w:right w:val="single" w:sz="2" w:space="0" w:color="CCCCCC"/>
            </w:tcBorders>
            <w:shd w:val="clear" w:color="auto" w:fill="F2F2F2"/>
            <w:tcMar>
              <w:top w:w="50" w:type="dxa"/>
              <w:left w:w="100" w:type="dxa"/>
              <w:bottom w:w="50" w:type="dxa"/>
              <w:right w:w="80" w:type="dxa"/>
            </w:tcMar>
            <w:vAlign w:val="center"/>
          </w:tcPr>
          <w:p w14:paraId="7F5B3D38"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2025-2027</w:t>
            </w:r>
          </w:p>
        </w:tc>
        <w:tc>
          <w:tcPr>
            <w:tcW w:w="2442" w:type="dxa"/>
            <w:tcBorders>
              <w:top w:val="single" w:sz="2" w:space="0" w:color="CCCCCC"/>
              <w:left w:val="none" w:sz="0" w:space="0" w:color="FFFFFF"/>
              <w:bottom w:val="single" w:sz="2" w:space="0" w:color="CCCCCC"/>
              <w:right w:val="single" w:sz="2" w:space="0" w:color="CCCCCC"/>
            </w:tcBorders>
            <w:shd w:val="clear" w:color="auto" w:fill="F2F2F2"/>
            <w:tcMar>
              <w:top w:w="50" w:type="dxa"/>
              <w:left w:w="100" w:type="dxa"/>
              <w:bottom w:w="50" w:type="dxa"/>
              <w:right w:w="80" w:type="dxa"/>
            </w:tcMar>
            <w:vAlign w:val="center"/>
          </w:tcPr>
          <w:p w14:paraId="6A48938A"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Medio-Bajo</w:t>
            </w:r>
          </w:p>
        </w:tc>
      </w:tr>
      <w:tr w:rsidR="00DF147D" w:rsidRPr="0018255F" w14:paraId="5F218A96" w14:textId="77777777" w:rsidTr="0018255F">
        <w:tblPrEx>
          <w:tblCellMar>
            <w:top w:w="0" w:type="dxa"/>
            <w:bottom w:w="0" w:type="dxa"/>
          </w:tblCellMar>
        </w:tblPrEx>
        <w:tc>
          <w:tcPr>
            <w:tcW w:w="2520" w:type="dxa"/>
            <w:tcBorders>
              <w:top w:val="single" w:sz="2" w:space="0" w:color="CCCCCC"/>
              <w:left w:val="none" w:sz="0" w:space="0" w:color="FFFFFF"/>
              <w:bottom w:val="single" w:sz="2" w:space="0" w:color="CCCCCC"/>
              <w:right w:val="single" w:sz="2" w:space="0" w:color="CCCCCC"/>
            </w:tcBorders>
            <w:shd w:val="clear" w:color="auto" w:fill="FFFFFF"/>
            <w:tcMar>
              <w:top w:w="50" w:type="dxa"/>
              <w:left w:w="100" w:type="dxa"/>
              <w:bottom w:w="50" w:type="dxa"/>
              <w:right w:w="80" w:type="dxa"/>
            </w:tcMar>
            <w:vAlign w:val="center"/>
          </w:tcPr>
          <w:p w14:paraId="26C402EC"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Reestructuración Deuda (Distressed)</w:t>
            </w:r>
          </w:p>
        </w:tc>
        <w:tc>
          <w:tcPr>
            <w:tcW w:w="3528" w:type="dxa"/>
            <w:tcBorders>
              <w:top w:val="single" w:sz="2" w:space="0" w:color="CCCCCC"/>
              <w:left w:val="none" w:sz="0" w:space="0" w:color="FFFFFF"/>
              <w:bottom w:val="single" w:sz="2" w:space="0" w:color="CCCCCC"/>
              <w:right w:val="single" w:sz="2" w:space="0" w:color="CCCCCC"/>
            </w:tcBorders>
            <w:shd w:val="clear" w:color="auto" w:fill="FFFFFF"/>
            <w:tcMar>
              <w:top w:w="50" w:type="dxa"/>
              <w:left w:w="100" w:type="dxa"/>
              <w:bottom w:w="50" w:type="dxa"/>
              <w:right w:w="80" w:type="dxa"/>
            </w:tcMar>
            <w:vAlign w:val="center"/>
          </w:tcPr>
          <w:p w14:paraId="48B0D999"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Arbitraje en mercado secundario de bonos PDVSA / soberanos; alta complejidad jurídica</w:t>
            </w:r>
          </w:p>
        </w:tc>
        <w:tc>
          <w:tcPr>
            <w:tcW w:w="1680" w:type="dxa"/>
            <w:tcBorders>
              <w:top w:val="single" w:sz="2" w:space="0" w:color="CCCCCC"/>
              <w:left w:val="none" w:sz="0" w:space="0" w:color="FFFFFF"/>
              <w:bottom w:val="single" w:sz="2" w:space="0" w:color="CCCCCC"/>
              <w:right w:val="single" w:sz="2" w:space="0" w:color="CCCCCC"/>
            </w:tcBorders>
            <w:shd w:val="clear" w:color="auto" w:fill="FFFFFF"/>
            <w:tcMar>
              <w:top w:w="50" w:type="dxa"/>
              <w:left w:w="100" w:type="dxa"/>
              <w:bottom w:w="50" w:type="dxa"/>
              <w:right w:w="80" w:type="dxa"/>
            </w:tcMar>
            <w:vAlign w:val="center"/>
          </w:tcPr>
          <w:p w14:paraId="43988F75"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2025-2027</w:t>
            </w:r>
          </w:p>
        </w:tc>
        <w:tc>
          <w:tcPr>
            <w:tcW w:w="2442" w:type="dxa"/>
            <w:tcBorders>
              <w:top w:val="single" w:sz="2" w:space="0" w:color="CCCCCC"/>
              <w:left w:val="none" w:sz="0" w:space="0" w:color="FFFFFF"/>
              <w:bottom w:val="single" w:sz="2" w:space="0" w:color="CCCCCC"/>
              <w:right w:val="single" w:sz="2" w:space="0" w:color="CCCCCC"/>
            </w:tcBorders>
            <w:shd w:val="clear" w:color="auto" w:fill="FFFFFF"/>
            <w:tcMar>
              <w:top w:w="50" w:type="dxa"/>
              <w:left w:w="100" w:type="dxa"/>
              <w:bottom w:w="50" w:type="dxa"/>
              <w:right w:w="80" w:type="dxa"/>
            </w:tcMar>
            <w:vAlign w:val="center"/>
          </w:tcPr>
          <w:p w14:paraId="4EC46347" w14:textId="77777777" w:rsidR="00DF147D" w:rsidRPr="0018255F" w:rsidRDefault="00000000" w:rsidP="0018255F">
            <w:pPr>
              <w:ind w:right="-90"/>
              <w:jc w:val="center"/>
              <w:rPr>
                <w:rFonts w:ascii="Abadi" w:hAnsi="Abadi"/>
                <w:sz w:val="22"/>
                <w:szCs w:val="22"/>
                <w:lang w:val="en-US"/>
              </w:rPr>
            </w:pPr>
            <w:r>
              <w:rPr>
                <w:rFonts w:ascii="Abadi" w:eastAsia="Calibri" w:hAnsi="Abadi" w:cs="Calibri"/>
                <w:color w:val="1A1A1A"/>
                <w:sz w:val="22"/>
                <w:szCs w:val="22"/>
                <w:lang w:val="en-US"/>
              </w:rPr>
              <w:t>Muy Alto / Especializado</w:t>
            </w:r>
          </w:p>
        </w:tc>
      </w:tr>
      <w:tr w:rsidR="00AA2B3C" w:rsidRPr="0018255F" w14:paraId="7B555F22" w14:textId="77777777" w:rsidTr="0018255F">
        <w:tblPrEx>
          <w:tblCellMar>
            <w:top w:w="0" w:type="dxa"/>
            <w:bottom w:w="0" w:type="dxa"/>
          </w:tblCellMar>
        </w:tblPrEx>
        <w:tc>
          <w:tcPr>
            <w:tcW w:w="2520" w:type="dxa"/>
            <w:tcBorders>
              <w:top w:val="single" w:sz="2" w:space="0" w:color="CCCCCC"/>
              <w:left w:val="none" w:sz="0" w:space="0" w:color="FFFFFF"/>
              <w:bottom w:val="single" w:sz="2" w:space="0" w:color="CCCCCC"/>
              <w:right w:val="single" w:sz="2" w:space="0" w:color="CCCCCC"/>
            </w:tcBorders>
            <w:shd w:val="clear" w:color="auto" w:fill="FFFFFF"/>
            <w:tcMar>
              <w:top w:w="50" w:type="dxa"/>
              <w:left w:w="100" w:type="dxa"/>
              <w:bottom w:w="50" w:type="dxa"/>
              <w:right w:w="80" w:type="dxa"/>
            </w:tcMar>
            <w:vAlign w:val="center"/>
          </w:tcPr>
          <w:p w14:paraId="62C38703" w14:textId="07F2C9D5" w:rsidR="00AA2B3C" w:rsidRDefault="00AA2B3C" w:rsidP="0018255F">
            <w:pPr>
              <w:ind w:right="-90"/>
              <w:jc w:val="center"/>
              <w:rPr>
                <w:rFonts w:ascii="Abadi" w:eastAsia="Calibri" w:hAnsi="Abadi" w:cs="Calibri"/>
                <w:color w:val="1A1A1A"/>
                <w:sz w:val="22"/>
                <w:szCs w:val="22"/>
                <w:lang w:val="en-US"/>
              </w:rPr>
            </w:pPr>
            <w:r>
              <w:rPr>
                <w:rFonts w:ascii="Abadi" w:eastAsia="Calibri" w:hAnsi="Abadi" w:cs="Calibri"/>
                <w:color w:val="1A1A1A"/>
                <w:sz w:val="22"/>
                <w:szCs w:val="22"/>
                <w:lang w:val="en-US"/>
              </w:rPr>
              <w:t xml:space="preserve">Seguridad - Riesgo / LM /Due Diligence </w:t>
            </w:r>
          </w:p>
          <w:p w14:paraId="096B80E4" w14:textId="77777777" w:rsidR="00AA2B3C" w:rsidRDefault="00AA2B3C" w:rsidP="0018255F">
            <w:pPr>
              <w:ind w:right="-90"/>
              <w:jc w:val="center"/>
              <w:rPr>
                <w:rFonts w:ascii="Abadi" w:eastAsia="Calibri" w:hAnsi="Abadi" w:cs="Calibri"/>
                <w:color w:val="1A1A1A"/>
                <w:sz w:val="22"/>
                <w:szCs w:val="22"/>
                <w:lang w:val="en-US"/>
              </w:rPr>
            </w:pPr>
          </w:p>
          <w:p w14:paraId="77BB981E" w14:textId="2F443092" w:rsidR="00AA2B3C" w:rsidRPr="0018255F" w:rsidRDefault="00AA2B3C" w:rsidP="0018255F">
            <w:pPr>
              <w:ind w:right="-90"/>
              <w:jc w:val="center"/>
              <w:rPr>
                <w:rFonts w:ascii="Abadi" w:eastAsia="Calibri" w:hAnsi="Abadi" w:cs="Calibri"/>
                <w:color w:val="1A1A1A"/>
                <w:sz w:val="22"/>
                <w:szCs w:val="22"/>
                <w:lang w:val="en-US"/>
              </w:rPr>
            </w:pPr>
          </w:p>
        </w:tc>
        <w:tc>
          <w:tcPr>
            <w:tcW w:w="3528" w:type="dxa"/>
            <w:tcBorders>
              <w:top w:val="single" w:sz="2" w:space="0" w:color="CCCCCC"/>
              <w:left w:val="none" w:sz="0" w:space="0" w:color="FFFFFF"/>
              <w:bottom w:val="single" w:sz="2" w:space="0" w:color="CCCCCC"/>
              <w:right w:val="single" w:sz="2" w:space="0" w:color="CCCCCC"/>
            </w:tcBorders>
            <w:shd w:val="clear" w:color="auto" w:fill="FFFFFF"/>
            <w:tcMar>
              <w:top w:w="50" w:type="dxa"/>
              <w:left w:w="100" w:type="dxa"/>
              <w:bottom w:w="50" w:type="dxa"/>
              <w:right w:w="80" w:type="dxa"/>
            </w:tcMar>
            <w:vAlign w:val="center"/>
          </w:tcPr>
          <w:p w14:paraId="72C79BD3" w14:textId="05891774" w:rsidR="00AA2B3C" w:rsidRPr="0018255F" w:rsidRDefault="00AA2B3C" w:rsidP="0018255F">
            <w:pPr>
              <w:ind w:right="-90"/>
              <w:jc w:val="center"/>
              <w:rPr>
                <w:rFonts w:ascii="Abadi" w:eastAsia="Calibri" w:hAnsi="Abadi" w:cs="Calibri"/>
                <w:color w:val="1A1A1A"/>
                <w:sz w:val="22"/>
                <w:szCs w:val="22"/>
                <w:lang w:val="en-US"/>
              </w:rPr>
            </w:pPr>
            <w:r>
              <w:rPr>
                <w:rFonts w:ascii="Abadi" w:eastAsia="Calibri" w:hAnsi="Abadi" w:cs="Calibri"/>
                <w:color w:val="1A1A1A"/>
                <w:sz w:val="22"/>
                <w:szCs w:val="22"/>
                <w:lang w:val="en-US"/>
              </w:rPr>
              <w:t xml:space="preserve">El operar en un ecosistema como en el energético, dentro de un país como Venezuela, requiere del acompañamiento y asesoramiento adecuado para evitar riesgos corporativos, de cumplimiento y vinculados con el lavado de dinero, o realizar alianzas estratégicas con PPE o empresas con reputaciones </w:t>
              <w:lastRenderedPageBreak/>
              <w:t>dubious, can jeopardize not only the investment, but also the freedom of the company's representatives</w:t>
            </w:r>
          </w:p>
        </w:tc>
        <w:tc>
          <w:tcPr>
            <w:tcW w:w="1680" w:type="dxa"/>
            <w:tcBorders>
              <w:top w:val="single" w:sz="2" w:space="0" w:color="CCCCCC"/>
              <w:left w:val="none" w:sz="0" w:space="0" w:color="FFFFFF"/>
              <w:bottom w:val="single" w:sz="2" w:space="0" w:color="CCCCCC"/>
              <w:right w:val="single" w:sz="2" w:space="0" w:color="CCCCCC"/>
            </w:tcBorders>
            <w:shd w:val="clear" w:color="auto" w:fill="FFFFFF"/>
            <w:tcMar>
              <w:top w:w="50" w:type="dxa"/>
              <w:left w:w="100" w:type="dxa"/>
              <w:bottom w:w="50" w:type="dxa"/>
              <w:right w:w="80" w:type="dxa"/>
            </w:tcMar>
            <w:vAlign w:val="center"/>
          </w:tcPr>
          <w:p w14:paraId="6EB1E144" w14:textId="0251C7AA" w:rsidR="00AA2B3C" w:rsidRPr="0018255F" w:rsidRDefault="00285886" w:rsidP="0018255F">
            <w:pPr>
              <w:ind w:right="-90"/>
              <w:jc w:val="center"/>
              <w:rPr>
                <w:rFonts w:ascii="Abadi" w:eastAsia="Calibri" w:hAnsi="Abadi" w:cs="Calibri"/>
                <w:color w:val="1A1A1A"/>
                <w:sz w:val="22"/>
                <w:szCs w:val="22"/>
                <w:lang w:val="en-US"/>
              </w:rPr>
            </w:pPr>
            <w:r>
              <w:rPr>
                <w:rFonts w:ascii="Abadi" w:eastAsia="Calibri" w:hAnsi="Abadi" w:cs="Calibri"/>
                <w:color w:val="1A1A1A"/>
                <w:sz w:val="22"/>
                <w:szCs w:val="22"/>
                <w:lang w:val="en-US"/>
              </w:rPr>
              <w:lastRenderedPageBreak/>
              <w:t>2027 -2030</w:t>
            </w:r>
          </w:p>
        </w:tc>
        <w:tc>
          <w:tcPr>
            <w:tcW w:w="2442" w:type="dxa"/>
            <w:tcBorders>
              <w:top w:val="single" w:sz="2" w:space="0" w:color="CCCCCC"/>
              <w:left w:val="none" w:sz="0" w:space="0" w:color="FFFFFF"/>
              <w:bottom w:val="single" w:sz="2" w:space="0" w:color="CCCCCC"/>
              <w:right w:val="single" w:sz="2" w:space="0" w:color="CCCCCC"/>
            </w:tcBorders>
            <w:shd w:val="clear" w:color="auto" w:fill="FFFFFF"/>
            <w:tcMar>
              <w:top w:w="50" w:type="dxa"/>
              <w:left w:w="100" w:type="dxa"/>
              <w:bottom w:w="50" w:type="dxa"/>
              <w:right w:w="80" w:type="dxa"/>
            </w:tcMar>
            <w:vAlign w:val="center"/>
          </w:tcPr>
          <w:p w14:paraId="391BD208" w14:textId="5BB89BFE" w:rsidR="00AA2B3C" w:rsidRPr="0018255F" w:rsidRDefault="00285886" w:rsidP="0018255F">
            <w:pPr>
              <w:ind w:right="-90"/>
              <w:jc w:val="center"/>
              <w:rPr>
                <w:rFonts w:ascii="Abadi" w:eastAsia="Calibri" w:hAnsi="Abadi" w:cs="Calibri"/>
                <w:color w:val="1A1A1A"/>
                <w:sz w:val="22"/>
                <w:szCs w:val="22"/>
                <w:lang w:val="en-US"/>
              </w:rPr>
            </w:pPr>
            <w:r>
              <w:rPr>
                <w:rFonts w:ascii="Abadi" w:eastAsia="Calibri" w:hAnsi="Abadi" w:cs="Calibri"/>
                <w:color w:val="1A1A1A"/>
                <w:sz w:val="22"/>
                <w:szCs w:val="22"/>
                <w:lang w:val="en-US"/>
              </w:rPr>
              <w:t xml:space="preserve">Muy Alto / Especializado como: openforumoilgasmines</w:t>
            </w:r>
          </w:p>
        </w:tc>
      </w:tr>
    </w:tbl>
    <w:p w14:paraId="24CE76A2" w14:textId="77777777" w:rsidR="00DF147D" w:rsidRPr="00AA2B3C" w:rsidRDefault="00DF147D" w:rsidP="00A7547F">
      <w:pPr>
        <w:ind w:right="-90"/>
        <w:jc w:val="both"/>
        <w:rPr>
          <w:rFonts w:ascii="Abadi" w:hAnsi="Abadi"/>
          <w:sz w:val="24"/>
          <w:szCs w:val="24"/>
          <w:lang w:val="en-US"/>
        </w:rPr>
      </w:pPr>
    </w:p>
    <w:p w14:paraId="45CA9396" w14:textId="77777777" w:rsidR="0018255F" w:rsidRPr="00AA2B3C" w:rsidRDefault="0018255F" w:rsidP="00A7547F">
      <w:pPr>
        <w:pBdr>
          <w:bottom w:val="single" w:sz="6" w:space="0" w:color="CC0000"/>
        </w:pBdr>
        <w:ind w:right="-90"/>
        <w:jc w:val="both"/>
        <w:rPr>
          <w:rFonts w:ascii="Abadi" w:eastAsia="Calibri" w:hAnsi="Abadi" w:cs="Calibri"/>
          <w:b/>
          <w:bCs/>
          <w:color w:val="1A1A1A"/>
          <w:sz w:val="24"/>
          <w:szCs w:val="24"/>
          <w:lang w:val="en-US"/>
        </w:rPr>
      </w:pPr>
    </w:p>
    <w:p w14:paraId="1FA9EC09" w14:textId="5BA0E052" w:rsidR="00DF147D" w:rsidRPr="0018255F" w:rsidRDefault="00000000" w:rsidP="00A7547F">
      <w:pPr>
        <w:pBdr>
          <w:bottom w:val="single" w:sz="6" w:space="0" w:color="CC0000"/>
        </w:pBdr>
        <w:ind w:right="-90"/>
        <w:jc w:val="both"/>
        <w:rPr>
          <w:rFonts w:ascii="Abadi" w:hAnsi="Abadi"/>
          <w:sz w:val="24"/>
          <w:szCs w:val="24"/>
          <w:lang w:val="en-US"/>
        </w:rPr>
      </w:pPr>
      <w:r>
        <w:rPr>
          <w:rFonts w:ascii="Abadi" w:eastAsia="Calibri" w:hAnsi="Abadi" w:cs="Calibri"/>
          <w:b/>
          <w:bCs/>
          <w:color w:val="1A1A1A"/>
          <w:sz w:val="24"/>
          <w:szCs w:val="24"/>
          <w:lang w:val="en-US"/>
        </w:rPr>
        <w:t>9.2  Strategic Recommendations</w:t>
      </w:r>
    </w:p>
    <w:p w14:paraId="3FB8DDFF" w14:textId="77777777" w:rsidR="0018255F" w:rsidRPr="0018255F" w:rsidRDefault="0018255F" w:rsidP="00A7547F">
      <w:pPr>
        <w:ind w:right="-90"/>
        <w:jc w:val="both"/>
        <w:rPr>
          <w:rFonts w:ascii="Abadi" w:eastAsia="Calibri" w:hAnsi="Abadi" w:cs="Calibri"/>
          <w:color w:val="1A1A1A"/>
          <w:sz w:val="24"/>
          <w:szCs w:val="24"/>
          <w:lang w:val="en-US"/>
        </w:rPr>
      </w:pPr>
    </w:p>
    <w:p w14:paraId="54D0DE2C" w14:textId="078CCD9E" w:rsidR="00DF147D" w:rsidRPr="0018255F" w:rsidRDefault="00000000" w:rsidP="00A7547F">
      <w:pPr>
        <w:ind w:right="-90"/>
        <w:jc w:val="both"/>
        <w:rPr>
          <w:rFonts w:ascii="Abadi" w:eastAsia="Calibri" w:hAnsi="Abadi" w:cs="Calibri"/>
          <w:color w:val="1A1A1A"/>
          <w:sz w:val="24"/>
          <w:szCs w:val="24"/>
          <w:lang w:val="en-US"/>
        </w:rPr>
      </w:pPr>
      <w:r>
        <w:rPr>
          <w:rFonts w:ascii="Abadi" w:eastAsia="Calibri" w:hAnsi="Abadi" w:cs="Calibri"/>
          <w:color w:val="1A1A1A"/>
          <w:sz w:val="24"/>
          <w:szCs w:val="24"/>
          <w:lang w:val="en-US"/>
        </w:rPr>
        <w:t>Based on the preceding analysis, the following recommendations are issued for decision-making in the areas of investment, energy security, and strategic positioning in Venezuela:</w:t>
      </w:r>
    </w:p>
    <w:p w14:paraId="7612BDBB" w14:textId="77777777" w:rsidR="0018255F" w:rsidRPr="00FF37C1" w:rsidRDefault="0018255F" w:rsidP="00A7547F">
      <w:pPr>
        <w:ind w:right="-90"/>
        <w:jc w:val="both"/>
        <w:rPr>
          <w:rFonts w:ascii="Abadi" w:hAnsi="Abadi"/>
          <w:sz w:val="24"/>
          <w:szCs w:val="24"/>
          <w:lang w:val="en-US"/>
        </w:rPr>
      </w:pPr>
    </w:p>
    <w:p w14:paraId="6BE83412" w14:textId="5052F6F3" w:rsidR="00DF147D" w:rsidRPr="0018255F" w:rsidRDefault="00000000" w:rsidP="0018255F">
      <w:pPr>
        <w:pStyle w:val="Prrafodelista"/>
        <w:numPr>
          <w:ilvl w:val="0"/>
          <w:numId w:val="7"/>
        </w:numPr>
        <w:ind w:right="-90"/>
        <w:jc w:val="both"/>
        <w:rPr>
          <w:rFonts w:ascii="Abadi" w:hAnsi="Abadi"/>
          <w:sz w:val="24"/>
          <w:szCs w:val="24"/>
          <w:lang w:val="en-US"/>
        </w:rPr>
      </w:pPr>
      <w:r>
        <w:rPr>
          <w:rFonts w:ascii="Abadi" w:eastAsia="Calibri" w:hAnsi="Abadi" w:cs="Calibri"/>
          <w:color w:val="1A1A1A"/>
          <w:sz w:val="24"/>
          <w:szCs w:val="24"/>
          <w:lang w:val="en-US"/>
        </w:rPr>
        <w:t>Continuous monitoring of the political transition process: the 2027-2028 electoral timeline and the stability of the transitional government are the primary determinants of investment risk across all sectors. Establish early-warning indicators linked to institutional progress.</w:t>
      </w:r>
    </w:p>
    <w:p w14:paraId="1F2A37EE" w14:textId="77777777" w:rsidR="0018255F" w:rsidRPr="0018255F" w:rsidRDefault="0018255F" w:rsidP="0018255F">
      <w:pPr>
        <w:pStyle w:val="Prrafodelista"/>
        <w:ind w:left="720" w:right="-90"/>
        <w:jc w:val="both"/>
        <w:rPr>
          <w:rFonts w:ascii="Abadi" w:hAnsi="Abadi"/>
          <w:sz w:val="24"/>
          <w:szCs w:val="24"/>
          <w:lang w:val="en-US"/>
        </w:rPr>
      </w:pPr>
    </w:p>
    <w:p w14:paraId="46227A91" w14:textId="32B8BD67" w:rsidR="00DF147D" w:rsidRPr="0018255F" w:rsidRDefault="00000000" w:rsidP="0018255F">
      <w:pPr>
        <w:pStyle w:val="Prrafodelista"/>
        <w:numPr>
          <w:ilvl w:val="0"/>
          <w:numId w:val="7"/>
        </w:numPr>
        <w:ind w:right="-90"/>
        <w:jc w:val="both"/>
        <w:rPr>
          <w:rFonts w:ascii="Abadi" w:hAnsi="Abadi"/>
          <w:sz w:val="24"/>
          <w:szCs w:val="24"/>
          <w:lang w:val="en-US"/>
        </w:rPr>
      </w:pPr>
      <w:r>
        <w:rPr>
          <w:rFonts w:ascii="Abadi" w:eastAsia="Calibri" w:hAnsi="Abadi" w:cs="Calibri"/>
          <w:color w:val="1A1A1A"/>
          <w:sz w:val="24"/>
          <w:szCs w:val="24"/>
          <w:lang w:val="en-US"/>
        </w:rPr>
        <w:t>Positioning in oil services with a 2025-2028 horizon: demand for technical services and infrastructure rehabilitation companies is immediate and quantifiable. Political risk mitigated by OFAC license coverage for operations under the U.S.-Venezuela energy agreement.</w:t>
      </w:r>
    </w:p>
    <w:p w14:paraId="33C4F966" w14:textId="7888FF37" w:rsidR="00DF147D" w:rsidRPr="0018255F" w:rsidRDefault="00000000" w:rsidP="0018255F">
      <w:pPr>
        <w:pStyle w:val="Prrafodelista"/>
        <w:numPr>
          <w:ilvl w:val="0"/>
          <w:numId w:val="7"/>
        </w:numPr>
        <w:ind w:right="-90"/>
        <w:jc w:val="both"/>
        <w:rPr>
          <w:rFonts w:ascii="Abadi" w:hAnsi="Abadi"/>
          <w:sz w:val="24"/>
          <w:szCs w:val="24"/>
          <w:lang w:val="en-US"/>
        </w:rPr>
      </w:pPr>
      <w:r>
        <w:rPr>
          <w:rFonts w:ascii="Abadi" w:eastAsia="Calibri" w:hAnsi="Abadi" w:cs="Calibri"/>
          <w:color w:val="1A1A1A"/>
          <w:sz w:val="24"/>
          <w:szCs w:val="24"/>
          <w:lang w:val="en-US"/>
        </w:rPr>
        <w:t>Deep due diligence before capital commitments in mining: the AMO requires a thorough assessment of the security and governance environment. Consider partnerships with operators experienced in conflict zones (DRC, Colombia).</w:t>
      </w:r>
    </w:p>
    <w:p w14:paraId="5908360D" w14:textId="77777777" w:rsidR="0018255F" w:rsidRPr="0018255F" w:rsidRDefault="0018255F" w:rsidP="0018255F">
      <w:pPr>
        <w:pStyle w:val="Prrafodelista"/>
        <w:ind w:left="720" w:right="-90"/>
        <w:jc w:val="both"/>
        <w:rPr>
          <w:rFonts w:ascii="Abadi" w:hAnsi="Abadi"/>
          <w:sz w:val="24"/>
          <w:szCs w:val="24"/>
          <w:lang w:val="en-US"/>
        </w:rPr>
      </w:pPr>
    </w:p>
    <w:p w14:paraId="26A08709" w14:textId="722BF939" w:rsidR="00DF147D" w:rsidRPr="0018255F" w:rsidRDefault="00000000" w:rsidP="0018255F">
      <w:pPr>
        <w:pStyle w:val="Prrafodelista"/>
        <w:numPr>
          <w:ilvl w:val="0"/>
          <w:numId w:val="7"/>
        </w:numPr>
        <w:ind w:right="-90"/>
        <w:jc w:val="both"/>
        <w:rPr>
          <w:rFonts w:ascii="Abadi" w:hAnsi="Abadi"/>
          <w:sz w:val="24"/>
          <w:szCs w:val="24"/>
          <w:lang w:val="en-US"/>
        </w:rPr>
      </w:pPr>
      <w:r>
        <w:rPr>
          <w:rFonts w:ascii="Abadi" w:eastAsia="Calibri" w:hAnsi="Abadi" w:cs="Calibri"/>
          <w:color w:val="1A1A1A"/>
          <w:sz w:val="24"/>
          <w:szCs w:val="24"/>
          <w:lang w:val="en-US"/>
        </w:rPr>
        <w:t>Follow-up on the debt restructuring framework: the terms of the restructuring process with China (principal creditor) will define the new government's fiscal space and, with it, its capacity to attract investment in non-energy sectors.</w:t>
      </w:r>
    </w:p>
    <w:p w14:paraId="65962B67" w14:textId="77777777" w:rsidR="0018255F" w:rsidRPr="0018255F" w:rsidRDefault="0018255F" w:rsidP="0018255F">
      <w:pPr>
        <w:ind w:right="-90"/>
        <w:jc w:val="both"/>
        <w:rPr>
          <w:rFonts w:ascii="Abadi" w:hAnsi="Abadi"/>
          <w:sz w:val="24"/>
          <w:szCs w:val="24"/>
          <w:lang w:val="en-US"/>
        </w:rPr>
      </w:pPr>
    </w:p>
    <w:p w14:paraId="77693AF5" w14:textId="2BE4C38E" w:rsidR="00DF147D" w:rsidRPr="0018255F" w:rsidRDefault="00000000" w:rsidP="0018255F">
      <w:pPr>
        <w:pStyle w:val="Prrafodelista"/>
        <w:numPr>
          <w:ilvl w:val="0"/>
          <w:numId w:val="7"/>
        </w:numPr>
        <w:ind w:right="-90"/>
        <w:jc w:val="both"/>
        <w:rPr>
          <w:rFonts w:ascii="Abadi" w:hAnsi="Abadi"/>
          <w:sz w:val="24"/>
          <w:szCs w:val="24"/>
          <w:lang w:val="en-US"/>
        </w:rPr>
      </w:pPr>
      <w:r>
        <w:rPr>
          <w:rFonts w:ascii="Abadi" w:eastAsia="Calibri" w:hAnsi="Abadi" w:cs="Calibri"/>
          <w:color w:val="1A1A1A"/>
          <w:sz w:val="24"/>
          <w:szCs w:val="24"/>
          <w:lang w:val="en-US"/>
        </w:rPr>
        <w:t>Evaluation of renewable energy opportunities: the electricity crisis creates genuine demand for distributed solar and wind generation under self-consumer schemes. Pending regulation but the transition framework is favorable.</w:t>
      </w:r>
    </w:p>
    <w:p w14:paraId="2AC34CDA" w14:textId="77777777" w:rsidR="0018255F" w:rsidRPr="0018255F" w:rsidRDefault="0018255F" w:rsidP="0018255F">
      <w:pPr>
        <w:ind w:right="-90"/>
        <w:jc w:val="both"/>
        <w:rPr>
          <w:rFonts w:ascii="Abadi" w:hAnsi="Abadi"/>
          <w:sz w:val="24"/>
          <w:szCs w:val="24"/>
          <w:lang w:val="en-US"/>
        </w:rPr>
      </w:pPr>
    </w:p>
    <w:p w14:paraId="1B07CF47" w14:textId="6F328E36" w:rsidR="00DF147D" w:rsidRPr="0018255F" w:rsidRDefault="00285886" w:rsidP="0018255F">
      <w:pPr>
        <w:pStyle w:val="Prrafodelista"/>
        <w:numPr>
          <w:ilvl w:val="0"/>
          <w:numId w:val="7"/>
        </w:numPr>
        <w:ind w:right="-90"/>
        <w:jc w:val="both"/>
        <w:rPr>
          <w:rFonts w:ascii="Abadi" w:hAnsi="Abadi"/>
          <w:sz w:val="24"/>
          <w:szCs w:val="24"/>
          <w:lang w:val="en-US"/>
        </w:rPr>
      </w:pPr>
      <w:r>
        <w:rPr>
          <w:rFonts w:ascii="Abadi" w:eastAsia="Calibri" w:hAnsi="Abadi" w:cs="Calibri"/>
          <w:color w:val="1A1A1A"/>
          <w:sz w:val="24"/>
          <w:szCs w:val="24"/>
          <w:lang w:val="en-US"/>
        </w:rPr>
        <w:t xml:space="preserve">Contact and work with specialized firms such as: openforumoilgasmine.com, with the objective of having accurate and current information on the country's situation, being supported regarding regulatory compliance processes in the energy sector, due diligence, analysis of corporate or individual profiles, risk management advisory, asset control and protection, critical infrastructure, process audits, corporate investigations, and strategic intelligence. </w:t>
      </w:r>
    </w:p>
    <w:p w14:paraId="15A79D74" w14:textId="77777777" w:rsidR="00DF147D" w:rsidRPr="0018255F" w:rsidRDefault="00DF147D" w:rsidP="00A7547F">
      <w:pPr>
        <w:ind w:right="-90"/>
        <w:jc w:val="both"/>
        <w:rPr>
          <w:rFonts w:ascii="Abadi" w:hAnsi="Abadi"/>
          <w:sz w:val="24"/>
          <w:szCs w:val="24"/>
          <w:lang w:val="en-US"/>
        </w:rPr>
      </w:pPr>
    </w:p>
    <w:tbl>
      <w:tblPr>
        <w:tblW w:w="10170" w:type="dxa"/>
        <w:tblBorders>
          <w:top w:val="none" w:sz="0" w:space="0" w:color="FFFFFF"/>
          <w:left w:val="none" w:sz="0" w:space="0" w:color="FFFFFF"/>
          <w:bottom w:val="single" w:sz="12" w:space="0" w:color="CC0000"/>
          <w:right w:val="none" w:sz="0" w:space="0" w:color="FFFFFF"/>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170"/>
      </w:tblGrid>
      <w:tr w:rsidR="00DF147D" w:rsidRPr="00FF37C1" w14:paraId="5059F20F" w14:textId="77777777" w:rsidTr="0018255F">
        <w:tblPrEx>
          <w:tblCellMar>
            <w:top w:w="0" w:type="dxa"/>
            <w:bottom w:w="0" w:type="dxa"/>
          </w:tblCellMar>
        </w:tblPrEx>
        <w:tc>
          <w:tcPr>
            <w:tcW w:w="10170" w:type="dxa"/>
            <w:tcBorders>
              <w:top w:val="none" w:sz="0" w:space="0" w:color="FFFFFF"/>
              <w:left w:val="none" w:sz="0" w:space="0" w:color="FFFFFF"/>
              <w:bottom w:val="none" w:sz="0" w:space="0" w:color="FFFFFF"/>
              <w:right w:val="none" w:sz="0" w:space="0" w:color="FFFFFF"/>
            </w:tcBorders>
            <w:shd w:val="clear" w:color="auto" w:fill="111E35"/>
            <w:tcMar>
              <w:top w:w="100" w:type="dxa"/>
              <w:left w:w="200" w:type="dxa"/>
              <w:bottom w:w="100" w:type="dxa"/>
              <w:right w:w="200" w:type="dxa"/>
            </w:tcMar>
          </w:tcPr>
          <w:p w14:paraId="5A5029A1" w14:textId="77777777" w:rsidR="00DF147D" w:rsidRPr="00FF37C1" w:rsidRDefault="00000000" w:rsidP="00A7547F">
            <w:pPr>
              <w:ind w:right="-90"/>
              <w:jc w:val="both"/>
              <w:rPr>
                <w:rFonts w:ascii="Abadi" w:hAnsi="Abadi"/>
                <w:sz w:val="24"/>
                <w:szCs w:val="24"/>
              </w:rPr>
            </w:pPr>
            <w:r>
              <w:rPr>
                <w:rFonts w:ascii="Abadi" w:eastAsia="Calibri" w:hAnsi="Abadi" w:cs="Calibri"/>
                <w:b/>
                <w:bCs/>
                <w:color w:val="FFFFFF"/>
                <w:sz w:val="24"/>
                <w:szCs w:val="24"/>
              </w:rPr>
              <w:t>10.  STRATEGIC CONCLUSION</w:t>
            </w:r>
          </w:p>
        </w:tc>
      </w:tr>
      <w:tr w:rsidR="00DF147D" w:rsidRPr="00FF37C1" w14:paraId="32F5BE10" w14:textId="77777777" w:rsidTr="0018255F">
        <w:tblPrEx>
          <w:tblBorders>
            <w:top w:val="single" w:sz="4" w:space="0" w:color="999999"/>
            <w:left w:val="single" w:sz="4" w:space="0" w:color="999999"/>
            <w:bottom w:val="single" w:sz="4" w:space="0" w:color="999999"/>
            <w:right w:val="single" w:sz="4" w:space="0" w:color="999999"/>
          </w:tblBorders>
          <w:tblCellMar>
            <w:top w:w="0" w:type="dxa"/>
            <w:bottom w:w="0" w:type="dxa"/>
          </w:tblCellMar>
        </w:tblPrEx>
        <w:tc>
          <w:tcPr>
            <w:tcW w:w="10170" w:type="dxa"/>
            <w:tcBorders>
              <w:top w:val="none" w:sz="0" w:space="0" w:color="FFFFFF"/>
              <w:left w:val="none" w:sz="0" w:space="0" w:color="FFFFFF"/>
              <w:bottom w:val="none" w:sz="0" w:space="0" w:color="FFFFFF"/>
              <w:right w:val="none" w:sz="0" w:space="0" w:color="FFFFFF"/>
            </w:tcBorders>
            <w:shd w:val="clear" w:color="auto" w:fill="F5F5F5"/>
            <w:tcMar>
              <w:top w:w="100" w:type="dxa"/>
              <w:left w:w="200" w:type="dxa"/>
              <w:bottom w:w="100" w:type="dxa"/>
              <w:right w:w="200" w:type="dxa"/>
            </w:tcMar>
          </w:tcPr>
          <w:p w14:paraId="26D920FC" w14:textId="77777777" w:rsidR="0018255F" w:rsidRDefault="0018255F" w:rsidP="00A7547F">
            <w:pPr>
              <w:ind w:right="-90"/>
              <w:jc w:val="both"/>
              <w:rPr>
                <w:rFonts w:ascii="Abadi" w:eastAsia="Calibri" w:hAnsi="Abadi" w:cs="Calibri"/>
                <w:b/>
                <w:bCs/>
                <w:caps/>
                <w:color w:val="1A1A1A"/>
                <w:sz w:val="24"/>
                <w:szCs w:val="24"/>
                <w:lang w:val="en-US"/>
              </w:rPr>
            </w:pPr>
          </w:p>
          <w:p w14:paraId="25A80ADC" w14:textId="19CE9FE7" w:rsidR="00DF147D" w:rsidRDefault="00000000" w:rsidP="00A7547F">
            <w:pPr>
              <w:ind w:right="-90"/>
              <w:jc w:val="both"/>
              <w:rPr>
                <w:rFonts w:ascii="Abadi" w:eastAsia="Calibri" w:hAnsi="Abadi" w:cs="Calibri"/>
                <w:b/>
                <w:bCs/>
                <w:caps/>
                <w:color w:val="1A1A1A"/>
                <w:sz w:val="24"/>
                <w:szCs w:val="24"/>
                <w:lang w:val="en-US"/>
              </w:rPr>
            </w:pPr>
            <w:r>
              <w:rPr>
                <w:rFonts w:ascii="Abadi" w:eastAsia="Calibri" w:hAnsi="Abadi" w:cs="Calibri"/>
                <w:b/>
                <w:bCs/>
                <w:caps/>
                <w:color w:val="1A1A1A"/>
                <w:sz w:val="24"/>
                <w:szCs w:val="24"/>
                <w:lang w:val="en-US"/>
              </w:rPr>
              <w:t>STRATEGIC CONCLUSION: VENEZUELA AND THE NEW ENERGY GEOPOLITICS</w:t>
            </w:r>
          </w:p>
          <w:p w14:paraId="28E49ECF" w14:textId="77777777" w:rsidR="0018255F" w:rsidRPr="00FF37C1" w:rsidRDefault="0018255F" w:rsidP="00A7547F">
            <w:pPr>
              <w:ind w:right="-90"/>
              <w:jc w:val="both"/>
              <w:rPr>
                <w:rFonts w:ascii="Abadi" w:hAnsi="Abadi"/>
                <w:sz w:val="24"/>
                <w:szCs w:val="24"/>
                <w:lang w:val="en-US"/>
              </w:rPr>
            </w:pPr>
          </w:p>
          <w:p w14:paraId="3AB5527E" w14:textId="77777777" w:rsidR="00DF147D" w:rsidRPr="00FF37C1" w:rsidRDefault="00000000" w:rsidP="00A7547F">
            <w:pPr>
              <w:ind w:right="-90"/>
              <w:jc w:val="both"/>
              <w:rPr>
                <w:rFonts w:ascii="Abadi" w:hAnsi="Abadi"/>
                <w:sz w:val="24"/>
                <w:szCs w:val="24"/>
                <w:lang w:val="en-US"/>
              </w:rPr>
            </w:pPr>
            <w:r>
              <w:rPr>
                <w:rFonts w:ascii="Abadi" w:eastAsia="Calibri" w:hAnsi="Abadi" w:cs="Calibri"/>
                <w:color w:val="1A1A1A"/>
                <w:sz w:val="24"/>
                <w:szCs w:val="24"/>
                <w:lang w:val="en-US"/>
              </w:rPr>
              <w:t>Venezuela is undergoing the most significant transformation in its recent history: the convergence of an unprecedented political transition process, sustained oil production recovery, and hemispheric energy repositioning within the framework of the Monroe Doctrine 2.0 and the U.S.-Venezuela energy agreement, configure a first-order strategic opportunity scenario for the investor with risk appetite and medium-to-long-term horizon.</w:t>
            </w:r>
          </w:p>
          <w:p w14:paraId="592A8AEE" w14:textId="77777777" w:rsidR="00DF147D" w:rsidRDefault="00000000" w:rsidP="00A7547F">
            <w:pPr>
              <w:ind w:right="-90"/>
              <w:jc w:val="both"/>
              <w:rPr>
                <w:rFonts w:ascii="Abadi" w:eastAsia="Calibri" w:hAnsi="Abadi" w:cs="Calibri"/>
                <w:color w:val="1A1A1A"/>
                <w:sz w:val="24"/>
                <w:szCs w:val="24"/>
                <w:lang w:val="en-US"/>
              </w:rPr>
            </w:pPr>
            <w:r>
              <w:rPr>
                <w:rFonts w:ascii="Abadi" w:eastAsia="Calibri" w:hAnsi="Abadi" w:cs="Calibri"/>
                <w:color w:val="1A1A1A"/>
                <w:sz w:val="24"/>
                <w:szCs w:val="24"/>
                <w:lang w:val="en-US"/>
              </w:rPr>
              <w:lastRenderedPageBreak/>
              <w:t>Venezuela's 303.8 Gbbl reserves — the world's largest — and the gas and mining potential of the AMO represent assets of renewed geopolitical value. Chevron's expansion ($7B over 5 years, 600K bpd target) confirms that the U.S. private sector perceives this equation as favorable under the umbrella of the bilateral agreement.</w:t>
            </w:r>
          </w:p>
          <w:p w14:paraId="3F72CE04" w14:textId="77777777" w:rsidR="0018255F" w:rsidRPr="00FF37C1" w:rsidRDefault="0018255F" w:rsidP="00A7547F">
            <w:pPr>
              <w:ind w:right="-90"/>
              <w:jc w:val="both"/>
              <w:rPr>
                <w:rFonts w:ascii="Abadi" w:hAnsi="Abadi"/>
                <w:sz w:val="24"/>
                <w:szCs w:val="24"/>
                <w:lang w:val="en-US"/>
              </w:rPr>
            </w:pPr>
          </w:p>
          <w:p w14:paraId="5020C086" w14:textId="77777777" w:rsidR="00DF147D" w:rsidRDefault="00000000" w:rsidP="00A7547F">
            <w:pPr>
              <w:ind w:right="-90"/>
              <w:jc w:val="both"/>
              <w:rPr>
                <w:rFonts w:ascii="Abadi" w:eastAsia="Calibri" w:hAnsi="Abadi" w:cs="Calibri"/>
                <w:color w:val="1A1A1A"/>
                <w:sz w:val="24"/>
                <w:szCs w:val="24"/>
                <w:lang w:val="en-US"/>
              </w:rPr>
            </w:pPr>
            <w:r>
              <w:rPr>
                <w:rFonts w:ascii="Abadi" w:eastAsia="Calibri" w:hAnsi="Abadi" w:cs="Calibri"/>
                <w:color w:val="1A1A1A"/>
                <w:sz w:val="24"/>
                <w:szCs w:val="24"/>
                <w:lang w:val="en-US"/>
              </w:rPr>
              <w:t>Institutional, security, and governance risks remain elevated and should not be underestimated. Uncertainty about the electoral timetable, China debt restructuring, deterioration of the electricity sector, and the persistence of organized crime in strategic areas are risk factors that justify a posture of continuous verification and gradual, conditioned capital commitments.</w:t>
            </w:r>
          </w:p>
          <w:p w14:paraId="10000027" w14:textId="10000028" w:rsidR="00A7547F" w:rsidRDefault="00A7547F" w:rsidP="00A7547F">
            <w:pPr>
              <w:ind w:right="-90" w:firstLine="720"/>
              <w:jc w:val="both"/>
              <w:rPr>
                <w:rFonts w:ascii="Abadi" w:eastAsia="Calibri" w:hAnsi="Abadi" w:cs="Calibri"/>
                <w:color w:val="1A1A1A"/>
                <w:sz w:val="24"/>
                <w:szCs w:val="24"/>
                <w:lang w:val="en-US"/>
              </w:rPr>
            </w:pPr>
          </w:p>
          <w:p w14:paraId="10000029" w14:textId="1000002A" w:rsidR="00DF147D" w:rsidRDefault="00000000" w:rsidP="00A7547F">
            <w:pPr>
              <w:ind w:right="-90" w:firstLine="720"/>
              <w:jc w:val="both"/>
              <w:rPr>
                <w:rFonts w:ascii="Abadi" w:eastAsia="Calibri" w:hAnsi="Abadi" w:cs="Calibri"/>
                <w:color w:val="1A1A1A"/>
                <w:sz w:val="24"/>
                <w:szCs w:val="24"/>
                <w:lang w:val="en-US"/>
              </w:rPr>
            </w:pPr>
            <w:r>
              <w:rPr>
                <w:rFonts w:ascii="Abadi" w:eastAsia="Calibri" w:hAnsi="Abadi" w:cs="Calibri"/>
                <w:b/>
                <w:bCs/>
                <w:color w:val="1A1A1A"/>
                <w:sz w:val="24"/>
                <w:szCs w:val="24"/>
                <w:lang w:val="en-US"/>
              </w:rPr>
              <w:t xml:space="preserve">The October 25 Catalyst: The Return of María Corina Machado. </w:t>
            </w:r>
            <w:r>
              <w:rPr>
                <w:rFonts w:ascii="Abadi" w:eastAsia="Calibri" w:hAnsi="Abadi" w:cs="Calibri"/>
                <w:color w:val="1A1A1A"/>
                <w:sz w:val="24"/>
                <w:szCs w:val="24"/>
                <w:lang w:val="en-US"/>
              </w:rPr>
              <w:t xml:space="preserve">The return of the opposition leader to Venezuela on October 25, 2026 represents the most transformative element of this analysis since its original issuance. The confluence of her presence on Venezuelan territory with the explicit and sustained backing of the Trump administration — expressed through lifted sanctions, released political prisoners, and full diplomatic operations in Caracas — creates the conditions for the most accelerated transition phase Venezuela has known in its recent history. For the strategic investor, the November 2026–June 2027 period represents the entry window with the highest risk-opportunity ratio of the last decade: early enough to capture the contraction of the risk premium, and sufficiently backed politically to reduce the probability of authoritarian reversal. Venezuela is no longer just an energy thesis: it is a democratic transition thesis with political capital, first-order geopolitical support, and the most important energy assets in the Western Hemisphere.</w:t>
            </w:r>
          </w:p>
          <w:p w14:paraId="34FB8043" w14:textId="77777777" w:rsidR="0018255F" w:rsidRPr="00FF37C1" w:rsidRDefault="0018255F" w:rsidP="00A7547F">
            <w:pPr>
              <w:ind w:right="-90"/>
              <w:jc w:val="both"/>
              <w:rPr>
                <w:rFonts w:ascii="Abadi" w:hAnsi="Abadi"/>
                <w:sz w:val="24"/>
                <w:szCs w:val="24"/>
                <w:lang w:val="en-US"/>
              </w:rPr>
            </w:pPr>
          </w:p>
          <w:p w14:paraId="36A33204" w14:textId="77777777" w:rsidR="00DF147D" w:rsidRDefault="00DF147D" w:rsidP="00A7547F">
            <w:pPr>
              <w:ind w:right="-90"/>
              <w:jc w:val="both"/>
              <w:rPr>
                <w:rFonts w:ascii="Abadi" w:eastAsia="Calibri" w:hAnsi="Abadi" w:cs="Calibri"/>
                <w:b/>
                <w:bCs/>
                <w:color w:val="1A1A1A"/>
                <w:sz w:val="24"/>
                <w:szCs w:val="24"/>
                <w:lang w:val="en-US"/>
              </w:rPr>
            </w:pPr>
          </w:p>
          <w:p w14:paraId="1E16380D" w14:textId="77777777" w:rsidR="0018255F" w:rsidRDefault="0018255F" w:rsidP="00A7547F">
            <w:pPr>
              <w:ind w:right="-90"/>
              <w:jc w:val="both"/>
              <w:rPr>
                <w:rFonts w:ascii="Abadi" w:eastAsia="Calibri" w:hAnsi="Abadi" w:cs="Calibri"/>
                <w:b/>
                <w:bCs/>
                <w:color w:val="1A1A1A"/>
                <w:sz w:val="24"/>
                <w:szCs w:val="24"/>
                <w:lang w:val="en-US"/>
              </w:rPr>
            </w:pPr>
          </w:p>
          <w:p w14:paraId="6B6195DC" w14:textId="77777777" w:rsidR="0018255F" w:rsidRDefault="0018255F" w:rsidP="00A7547F">
            <w:pPr>
              <w:ind w:right="-90"/>
              <w:jc w:val="both"/>
              <w:rPr>
                <w:rFonts w:ascii="Abadi" w:eastAsia="Calibri" w:hAnsi="Abadi" w:cs="Calibri"/>
                <w:b/>
                <w:bCs/>
                <w:color w:val="1A1A1A"/>
                <w:sz w:val="24"/>
                <w:szCs w:val="24"/>
                <w:lang w:val="en-US"/>
              </w:rPr>
            </w:pPr>
          </w:p>
          <w:p w14:paraId="519E64AE" w14:textId="77777777" w:rsidR="0018255F" w:rsidRDefault="0018255F" w:rsidP="00A7547F">
            <w:pPr>
              <w:ind w:right="-90"/>
              <w:jc w:val="both"/>
              <w:rPr>
                <w:rFonts w:ascii="Abadi" w:eastAsia="Calibri" w:hAnsi="Abadi" w:cs="Calibri"/>
                <w:b/>
                <w:bCs/>
                <w:color w:val="1A1A1A"/>
                <w:sz w:val="24"/>
                <w:szCs w:val="24"/>
                <w:lang w:val="en-US"/>
              </w:rPr>
            </w:pPr>
          </w:p>
          <w:p w14:paraId="636E606A" w14:textId="77777777" w:rsidR="0018255F" w:rsidRDefault="0018255F" w:rsidP="00A7547F">
            <w:pPr>
              <w:ind w:right="-90"/>
              <w:jc w:val="both"/>
              <w:rPr>
                <w:rFonts w:ascii="Abadi" w:eastAsia="Calibri" w:hAnsi="Abadi" w:cs="Calibri"/>
                <w:b/>
                <w:bCs/>
                <w:color w:val="1A1A1A"/>
                <w:sz w:val="24"/>
                <w:szCs w:val="24"/>
                <w:lang w:val="en-US"/>
              </w:rPr>
            </w:pPr>
          </w:p>
          <w:p w14:paraId="6A688C8F" w14:textId="77777777" w:rsidR="0018255F" w:rsidRDefault="0018255F" w:rsidP="00A7547F">
            <w:pPr>
              <w:ind w:right="-90"/>
              <w:jc w:val="both"/>
              <w:rPr>
                <w:rFonts w:ascii="Abadi" w:eastAsia="Calibri" w:hAnsi="Abadi" w:cs="Calibri"/>
                <w:b/>
                <w:bCs/>
                <w:color w:val="1A1A1A"/>
                <w:sz w:val="24"/>
                <w:szCs w:val="24"/>
                <w:lang w:val="en-US"/>
              </w:rPr>
            </w:pPr>
          </w:p>
          <w:p w14:paraId="3DE55F2F" w14:textId="77777777" w:rsidR="0018255F" w:rsidRDefault="0018255F" w:rsidP="00A7547F">
            <w:pPr>
              <w:ind w:right="-90"/>
              <w:jc w:val="both"/>
              <w:rPr>
                <w:rFonts w:ascii="Abadi" w:eastAsia="Calibri" w:hAnsi="Abadi" w:cs="Calibri"/>
                <w:b/>
                <w:bCs/>
                <w:color w:val="1A1A1A"/>
                <w:sz w:val="24"/>
                <w:szCs w:val="24"/>
                <w:lang w:val="en-US"/>
              </w:rPr>
            </w:pPr>
          </w:p>
          <w:p w14:paraId="3462C5DD" w14:textId="77777777" w:rsidR="0018255F" w:rsidRDefault="0018255F" w:rsidP="00A7547F">
            <w:pPr>
              <w:ind w:right="-90"/>
              <w:jc w:val="both"/>
              <w:rPr>
                <w:rFonts w:ascii="Abadi" w:eastAsia="Calibri" w:hAnsi="Abadi" w:cs="Calibri"/>
                <w:b/>
                <w:bCs/>
                <w:color w:val="1A1A1A"/>
                <w:sz w:val="24"/>
                <w:szCs w:val="24"/>
                <w:lang w:val="en-US"/>
              </w:rPr>
            </w:pPr>
          </w:p>
          <w:p w14:paraId="56027D41" w14:textId="77777777" w:rsidR="0018255F" w:rsidRDefault="0018255F" w:rsidP="00A7547F">
            <w:pPr>
              <w:ind w:right="-90"/>
              <w:jc w:val="both"/>
              <w:rPr>
                <w:rFonts w:ascii="Abadi" w:eastAsia="Calibri" w:hAnsi="Abadi" w:cs="Calibri"/>
                <w:b/>
                <w:bCs/>
                <w:color w:val="1A1A1A"/>
                <w:sz w:val="24"/>
                <w:szCs w:val="24"/>
                <w:lang w:val="en-US"/>
              </w:rPr>
            </w:pPr>
          </w:p>
          <w:p w14:paraId="6CD22121" w14:textId="77777777" w:rsidR="0018255F" w:rsidRDefault="0018255F" w:rsidP="00A7547F">
            <w:pPr>
              <w:ind w:right="-90"/>
              <w:jc w:val="both"/>
              <w:rPr>
                <w:rFonts w:ascii="Abadi" w:eastAsia="Calibri" w:hAnsi="Abadi" w:cs="Calibri"/>
                <w:b/>
                <w:bCs/>
                <w:color w:val="1A1A1A"/>
                <w:sz w:val="24"/>
                <w:szCs w:val="24"/>
                <w:lang w:val="en-US"/>
              </w:rPr>
            </w:pPr>
          </w:p>
          <w:p w14:paraId="4D2B9921" w14:textId="77777777" w:rsidR="0018255F" w:rsidRDefault="0018255F" w:rsidP="00A7547F">
            <w:pPr>
              <w:ind w:right="-90"/>
              <w:jc w:val="both"/>
              <w:rPr>
                <w:rFonts w:ascii="Abadi" w:eastAsia="Calibri" w:hAnsi="Abadi" w:cs="Calibri"/>
                <w:b/>
                <w:bCs/>
                <w:color w:val="1A1A1A"/>
                <w:sz w:val="24"/>
                <w:szCs w:val="24"/>
                <w:lang w:val="en-US"/>
              </w:rPr>
            </w:pPr>
          </w:p>
          <w:p w14:paraId="058D78D1" w14:textId="77777777" w:rsidR="0018255F" w:rsidRDefault="0018255F" w:rsidP="00A7547F">
            <w:pPr>
              <w:ind w:right="-90"/>
              <w:jc w:val="both"/>
              <w:rPr>
                <w:rFonts w:ascii="Abadi" w:eastAsia="Calibri" w:hAnsi="Abadi" w:cs="Calibri"/>
                <w:b/>
                <w:bCs/>
                <w:color w:val="1A1A1A"/>
                <w:sz w:val="24"/>
                <w:szCs w:val="24"/>
                <w:lang w:val="en-US"/>
              </w:rPr>
            </w:pPr>
          </w:p>
          <w:p w14:paraId="59831E94" w14:textId="77777777" w:rsidR="0018255F" w:rsidRDefault="0018255F" w:rsidP="00A7547F">
            <w:pPr>
              <w:ind w:right="-90"/>
              <w:jc w:val="both"/>
              <w:rPr>
                <w:rFonts w:ascii="Abadi" w:eastAsia="Calibri" w:hAnsi="Abadi" w:cs="Calibri"/>
                <w:b/>
                <w:bCs/>
                <w:color w:val="1A1A1A"/>
                <w:sz w:val="24"/>
                <w:szCs w:val="24"/>
                <w:lang w:val="en-US"/>
              </w:rPr>
            </w:pPr>
          </w:p>
          <w:p w14:paraId="1386BC62" w14:textId="2F745725" w:rsidR="0018255F" w:rsidRPr="00FF37C1" w:rsidRDefault="0018255F" w:rsidP="00A7547F">
            <w:pPr>
              <w:ind w:right="-90"/>
              <w:jc w:val="both"/>
              <w:rPr>
                <w:rFonts w:ascii="Abadi" w:hAnsi="Abadi"/>
                <w:sz w:val="24"/>
                <w:szCs w:val="24"/>
                <w:lang w:val="en-US"/>
              </w:rPr>
            </w:pPr>
          </w:p>
        </w:tc>
      </w:tr>
    </w:tbl>
    <w:p w14:paraId="18894A13" w14:textId="77777777" w:rsidR="00DF147D" w:rsidRDefault="00DF147D" w:rsidP="00A7547F">
      <w:pPr>
        <w:ind w:right="-90"/>
        <w:jc w:val="both"/>
        <w:rPr>
          <w:rFonts w:ascii="Abadi" w:hAnsi="Abadi"/>
          <w:sz w:val="24"/>
          <w:szCs w:val="24"/>
          <w:lang w:val="en-US"/>
        </w:rPr>
      </w:pPr>
    </w:p>
    <w:p w14:paraId="25F54C8E" w14:textId="77777777" w:rsidR="00285886" w:rsidRDefault="00285886" w:rsidP="00A7547F">
      <w:pPr>
        <w:ind w:right="-90"/>
        <w:jc w:val="both"/>
        <w:rPr>
          <w:rFonts w:ascii="Abadi" w:hAnsi="Abadi"/>
          <w:sz w:val="24"/>
          <w:szCs w:val="24"/>
          <w:lang w:val="en-US"/>
        </w:rPr>
      </w:pPr>
    </w:p>
    <w:p w14:paraId="1D7AB12F" w14:textId="77777777" w:rsidR="00285886" w:rsidRDefault="00285886" w:rsidP="00A7547F">
      <w:pPr>
        <w:ind w:right="-90"/>
        <w:jc w:val="both"/>
        <w:rPr>
          <w:rFonts w:ascii="Abadi" w:hAnsi="Abadi"/>
          <w:sz w:val="24"/>
          <w:szCs w:val="24"/>
          <w:lang w:val="en-US"/>
        </w:rPr>
      </w:pPr>
    </w:p>
    <w:p w14:paraId="2CBFA124" w14:textId="77777777" w:rsidR="00285886" w:rsidRDefault="00285886" w:rsidP="00A7547F">
      <w:pPr>
        <w:ind w:right="-90"/>
        <w:jc w:val="both"/>
        <w:rPr>
          <w:rFonts w:ascii="Abadi" w:hAnsi="Abadi"/>
          <w:sz w:val="24"/>
          <w:szCs w:val="24"/>
          <w:lang w:val="en-US"/>
        </w:rPr>
      </w:pPr>
    </w:p>
    <w:p w14:paraId="5E68B9CC" w14:textId="77777777" w:rsidR="00285886" w:rsidRDefault="00285886" w:rsidP="00A7547F">
      <w:pPr>
        <w:ind w:right="-90"/>
        <w:jc w:val="both"/>
        <w:rPr>
          <w:rFonts w:ascii="Abadi" w:hAnsi="Abadi"/>
          <w:sz w:val="24"/>
          <w:szCs w:val="24"/>
          <w:lang w:val="en-US"/>
        </w:rPr>
      </w:pPr>
    </w:p>
    <w:p w14:paraId="63CCBA44" w14:textId="77777777" w:rsidR="00285886" w:rsidRDefault="00285886" w:rsidP="00A7547F">
      <w:pPr>
        <w:ind w:right="-90"/>
        <w:jc w:val="both"/>
        <w:rPr>
          <w:rFonts w:ascii="Abadi" w:hAnsi="Abadi"/>
          <w:sz w:val="24"/>
          <w:szCs w:val="24"/>
          <w:lang w:val="en-US"/>
        </w:rPr>
      </w:pPr>
    </w:p>
    <w:p w14:paraId="28762ADB" w14:textId="77777777" w:rsidR="00285886" w:rsidRDefault="00285886" w:rsidP="00A7547F">
      <w:pPr>
        <w:ind w:right="-90"/>
        <w:jc w:val="both"/>
        <w:rPr>
          <w:rFonts w:ascii="Abadi" w:hAnsi="Abadi"/>
          <w:sz w:val="24"/>
          <w:szCs w:val="24"/>
          <w:lang w:val="en-US"/>
        </w:rPr>
      </w:pPr>
    </w:p>
    <w:p w14:paraId="16071FF5" w14:textId="77777777" w:rsidR="00285886" w:rsidRDefault="00285886" w:rsidP="00A7547F">
      <w:pPr>
        <w:ind w:right="-90"/>
        <w:jc w:val="both"/>
        <w:rPr>
          <w:rFonts w:ascii="Abadi" w:hAnsi="Abadi"/>
          <w:sz w:val="24"/>
          <w:szCs w:val="24"/>
          <w:lang w:val="en-US"/>
        </w:rPr>
      </w:pPr>
    </w:p>
    <w:p w14:paraId="04766940" w14:textId="77777777" w:rsidR="00285886" w:rsidRDefault="00285886" w:rsidP="00A7547F">
      <w:pPr>
        <w:ind w:right="-90"/>
        <w:jc w:val="both"/>
        <w:rPr>
          <w:rFonts w:ascii="Abadi" w:hAnsi="Abadi"/>
          <w:sz w:val="24"/>
          <w:szCs w:val="24"/>
          <w:lang w:val="en-US"/>
        </w:rPr>
      </w:pPr>
    </w:p>
    <w:p w14:paraId="04E3426F" w14:textId="77777777" w:rsidR="00285886" w:rsidRDefault="00285886" w:rsidP="00A7547F">
      <w:pPr>
        <w:ind w:right="-90"/>
        <w:jc w:val="both"/>
        <w:rPr>
          <w:rFonts w:ascii="Abadi" w:hAnsi="Abadi"/>
          <w:sz w:val="24"/>
          <w:szCs w:val="24"/>
          <w:lang w:val="en-US"/>
        </w:rPr>
      </w:pPr>
    </w:p>
    <w:p w14:paraId="2E631D13" w14:textId="77777777" w:rsidR="00285886" w:rsidRDefault="00285886" w:rsidP="00A7547F">
      <w:pPr>
        <w:ind w:right="-90"/>
        <w:jc w:val="both"/>
        <w:rPr>
          <w:rFonts w:ascii="Abadi" w:hAnsi="Abadi"/>
          <w:sz w:val="24"/>
          <w:szCs w:val="24"/>
          <w:lang w:val="en-US"/>
        </w:rPr>
      </w:pPr>
    </w:p>
    <w:p w14:paraId="7BC3A4E3" w14:textId="77777777" w:rsidR="00285886" w:rsidRDefault="00285886" w:rsidP="00A7547F">
      <w:pPr>
        <w:ind w:right="-90"/>
        <w:jc w:val="both"/>
        <w:rPr>
          <w:rFonts w:ascii="Abadi" w:hAnsi="Abadi"/>
          <w:sz w:val="24"/>
          <w:szCs w:val="24"/>
          <w:lang w:val="en-US"/>
        </w:rPr>
      </w:pPr>
    </w:p>
    <w:p w14:paraId="6DBF32A9" w14:textId="77777777" w:rsidR="00285886" w:rsidRDefault="00285886" w:rsidP="00A7547F">
      <w:pPr>
        <w:ind w:right="-90"/>
        <w:jc w:val="both"/>
        <w:rPr>
          <w:rFonts w:ascii="Abadi" w:hAnsi="Abadi"/>
          <w:sz w:val="24"/>
          <w:szCs w:val="24"/>
          <w:lang w:val="en-US"/>
        </w:rPr>
      </w:pPr>
    </w:p>
    <w:p w14:paraId="4664EB31" w14:textId="77777777" w:rsidR="00285886" w:rsidRDefault="00285886" w:rsidP="00A7547F">
      <w:pPr>
        <w:ind w:right="-90"/>
        <w:jc w:val="both"/>
        <w:rPr>
          <w:rFonts w:ascii="Abadi" w:hAnsi="Abadi"/>
          <w:sz w:val="24"/>
          <w:szCs w:val="24"/>
          <w:lang w:val="en-US"/>
        </w:rPr>
      </w:pPr>
    </w:p>
    <w:p w14:paraId="0DE9C4D4" w14:textId="77777777" w:rsidR="00285886" w:rsidRDefault="00285886" w:rsidP="00A7547F">
      <w:pPr>
        <w:ind w:right="-90"/>
        <w:jc w:val="both"/>
        <w:rPr>
          <w:rFonts w:ascii="Abadi" w:hAnsi="Abadi"/>
          <w:sz w:val="24"/>
          <w:szCs w:val="24"/>
          <w:lang w:val="en-US"/>
        </w:rPr>
      </w:pPr>
    </w:p>
    <w:p w14:paraId="5452F88E" w14:textId="77777777" w:rsidR="00285886" w:rsidRDefault="00285886" w:rsidP="00A7547F">
      <w:pPr>
        <w:ind w:right="-90"/>
        <w:jc w:val="both"/>
        <w:rPr>
          <w:rFonts w:ascii="Abadi" w:hAnsi="Abadi"/>
          <w:sz w:val="24"/>
          <w:szCs w:val="24"/>
          <w:lang w:val="en-US"/>
        </w:rPr>
      </w:pPr>
    </w:p>
    <w:p w14:paraId="05807DF4" w14:textId="77777777" w:rsidR="00285886" w:rsidRDefault="00285886" w:rsidP="00A7547F">
      <w:pPr>
        <w:ind w:right="-90"/>
        <w:jc w:val="both"/>
        <w:rPr>
          <w:rFonts w:ascii="Abadi" w:hAnsi="Abadi"/>
          <w:sz w:val="24"/>
          <w:szCs w:val="24"/>
          <w:lang w:val="en-US"/>
        </w:rPr>
      </w:pPr>
    </w:p>
    <w:p w14:paraId="3F707018" w14:textId="77777777" w:rsidR="00285886" w:rsidRDefault="00285886" w:rsidP="00A7547F">
      <w:pPr>
        <w:ind w:right="-90"/>
        <w:jc w:val="both"/>
        <w:rPr>
          <w:rFonts w:ascii="Abadi" w:hAnsi="Abadi"/>
          <w:sz w:val="24"/>
          <w:szCs w:val="24"/>
          <w:lang w:val="en-US"/>
        </w:rPr>
      </w:pPr>
    </w:p>
    <w:p w14:paraId="41FFC522" w14:textId="77777777" w:rsidR="00285886" w:rsidRDefault="00285886" w:rsidP="00A7547F">
      <w:pPr>
        <w:ind w:right="-90"/>
        <w:jc w:val="both"/>
        <w:rPr>
          <w:rFonts w:ascii="Abadi" w:hAnsi="Abadi"/>
          <w:sz w:val="24"/>
          <w:szCs w:val="24"/>
          <w:lang w:val="en-US"/>
        </w:rPr>
      </w:pPr>
    </w:p>
    <w:p w14:paraId="392FBE59" w14:textId="77777777" w:rsidR="00285886" w:rsidRDefault="00285886" w:rsidP="00A7547F">
      <w:pPr>
        <w:ind w:right="-90"/>
        <w:jc w:val="both"/>
        <w:rPr>
          <w:rFonts w:ascii="Abadi" w:hAnsi="Abadi"/>
          <w:sz w:val="24"/>
          <w:szCs w:val="24"/>
          <w:lang w:val="en-US"/>
        </w:rPr>
      </w:pPr>
    </w:p>
    <w:p w14:paraId="3D56B4B8" w14:textId="77777777" w:rsidR="00285886" w:rsidRDefault="00285886" w:rsidP="00A7547F">
      <w:pPr>
        <w:ind w:right="-90"/>
        <w:jc w:val="both"/>
        <w:rPr>
          <w:rFonts w:ascii="Abadi" w:hAnsi="Abadi"/>
          <w:sz w:val="24"/>
          <w:szCs w:val="24"/>
          <w:lang w:val="en-US"/>
        </w:rPr>
      </w:pPr>
    </w:p>
    <w:p w14:paraId="6FE9E5D9" w14:textId="77777777" w:rsidR="00285886" w:rsidRDefault="00285886" w:rsidP="00A7547F">
      <w:pPr>
        <w:ind w:right="-90"/>
        <w:jc w:val="both"/>
        <w:rPr>
          <w:rFonts w:ascii="Abadi" w:hAnsi="Abadi"/>
          <w:sz w:val="24"/>
          <w:szCs w:val="24"/>
          <w:lang w:val="en-US"/>
        </w:rPr>
      </w:pPr>
    </w:p>
    <w:p w14:paraId="22E05678" w14:textId="77777777" w:rsidR="00285886" w:rsidRDefault="00285886" w:rsidP="00A7547F">
      <w:pPr>
        <w:ind w:right="-90"/>
        <w:jc w:val="both"/>
        <w:rPr>
          <w:rFonts w:ascii="Abadi" w:hAnsi="Abadi"/>
          <w:sz w:val="24"/>
          <w:szCs w:val="24"/>
          <w:lang w:val="en-US"/>
        </w:rPr>
      </w:pPr>
    </w:p>
    <w:p w14:paraId="30CA8673" w14:textId="77777777" w:rsidR="00285886" w:rsidRDefault="00285886" w:rsidP="00A7547F">
      <w:pPr>
        <w:ind w:right="-90"/>
        <w:jc w:val="both"/>
        <w:rPr>
          <w:rFonts w:ascii="Abadi" w:hAnsi="Abadi"/>
          <w:sz w:val="24"/>
          <w:szCs w:val="24"/>
          <w:lang w:val="en-US"/>
        </w:rPr>
      </w:pPr>
    </w:p>
    <w:p w14:paraId="3A9A10A4" w14:textId="77777777" w:rsidR="00285886" w:rsidRPr="00FF37C1" w:rsidRDefault="00285886" w:rsidP="00A7547F">
      <w:pPr>
        <w:ind w:right="-90"/>
        <w:jc w:val="both"/>
        <w:rPr>
          <w:rFonts w:ascii="Abadi" w:hAnsi="Abadi"/>
          <w:sz w:val="24"/>
          <w:szCs w:val="24"/>
          <w:lang w:val="en-US"/>
        </w:rPr>
      </w:pPr>
    </w:p>
    <w:tbl>
      <w:tblPr>
        <w:tblW w:w="10080" w:type="dxa"/>
        <w:tblBorders>
          <w:top w:val="none" w:sz="0" w:space="0" w:color="FFFFFF"/>
          <w:left w:val="none" w:sz="0" w:space="0" w:color="FFFFFF"/>
          <w:bottom w:val="single" w:sz="12" w:space="0" w:color="CC0000"/>
          <w:right w:val="none" w:sz="0" w:space="0" w:color="FFFFFF"/>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80"/>
      </w:tblGrid>
      <w:tr w:rsidR="00DF147D" w:rsidRPr="00FF37C1" w14:paraId="16DBEF8C" w14:textId="77777777">
        <w:tblPrEx>
          <w:tblCellMar>
            <w:top w:w="0" w:type="dxa"/>
            <w:bottom w:w="0" w:type="dxa"/>
          </w:tblCellMar>
        </w:tblPrEx>
        <w:tc>
          <w:tcPr>
            <w:tcW w:w="10080" w:type="dxa"/>
            <w:tcBorders>
              <w:top w:val="none" w:sz="0" w:space="0" w:color="FFFFFF"/>
              <w:left w:val="none" w:sz="0" w:space="0" w:color="FFFFFF"/>
              <w:bottom w:val="none" w:sz="0" w:space="0" w:color="FFFFFF"/>
              <w:right w:val="none" w:sz="0" w:space="0" w:color="FFFFFF"/>
            </w:tcBorders>
            <w:shd w:val="clear" w:color="auto" w:fill="111E35"/>
            <w:tcMar>
              <w:top w:w="100" w:type="dxa"/>
              <w:left w:w="200" w:type="dxa"/>
              <w:bottom w:w="100" w:type="dxa"/>
              <w:right w:w="200" w:type="dxa"/>
            </w:tcMar>
          </w:tcPr>
          <w:p w14:paraId="65EB81B5" w14:textId="77777777" w:rsidR="00DF147D" w:rsidRPr="00FF37C1" w:rsidRDefault="00000000" w:rsidP="00A7547F">
            <w:pPr>
              <w:ind w:right="-90"/>
              <w:jc w:val="both"/>
              <w:rPr>
                <w:rFonts w:ascii="Abadi" w:hAnsi="Abadi"/>
                <w:sz w:val="24"/>
                <w:szCs w:val="24"/>
              </w:rPr>
            </w:pPr>
            <w:r>
              <w:rPr>
                <w:rFonts w:ascii="Abadi" w:eastAsia="Calibri" w:hAnsi="Abadi" w:cs="Calibri"/>
                <w:b/>
                <w:bCs/>
                <w:color w:val="FFFFFF"/>
                <w:sz w:val="24"/>
                <w:szCs w:val="24"/>
              </w:rPr>
              <w:lastRenderedPageBreak/>
              <w:t>11.  REFERENCES</w:t>
            </w:r>
          </w:p>
        </w:tc>
      </w:tr>
    </w:tbl>
    <w:p w14:paraId="0E818BD4" w14:textId="77777777" w:rsidR="00DF147D" w:rsidRPr="00FF37C1" w:rsidRDefault="00DF147D" w:rsidP="00A7547F">
      <w:pPr>
        <w:ind w:right="-90"/>
        <w:jc w:val="both"/>
        <w:rPr>
          <w:rFonts w:ascii="Abadi" w:hAnsi="Abadi"/>
          <w:sz w:val="24"/>
          <w:szCs w:val="24"/>
        </w:rPr>
      </w:pPr>
    </w:p>
    <w:p w14:paraId="1ADDFFD0" w14:textId="14DEF929" w:rsidR="00DF147D" w:rsidRDefault="00000000" w:rsidP="0018255F">
      <w:pPr>
        <w:ind w:left="480" w:right="-90" w:hanging="480"/>
        <w:rPr>
          <w:rFonts w:ascii="Abadi" w:eastAsia="Calibri" w:hAnsi="Abadi" w:cs="Calibri"/>
          <w:sz w:val="24"/>
          <w:szCs w:val="24"/>
        </w:rPr>
      </w:pPr>
      <w:r>
        <w:rPr>
          <w:rFonts w:ascii="Abadi" w:eastAsia="Calibri" w:hAnsi="Abadi" w:cs="Calibri"/>
          <w:sz w:val="24"/>
          <w:szCs w:val="24"/>
        </w:rPr>
        <w:t xml:space="preserve">EIA (2025). Strait of Hormuz: Crude Oil and LNG Flows Under Growing Threat. U.S. Energy Information Administration. </w:t>
      </w:r>
      <w:hyperlink r:id="rId8" w:history="1">
        <w:r>
          <w:rPr>
            <w:rStyle w:val="Hipervnculo"/>
            <w:rFonts w:ascii="Abadi" w:eastAsia="Calibri" w:hAnsi="Abadi" w:cs="Calibri"/>
            <w:sz w:val="24"/>
            <w:szCs w:val="24"/>
          </w:rPr>
          <w:t>https://www.eia.gov/todayinenergy/detail.php?id=65504</w:t>
        </w:r>
      </w:hyperlink>
    </w:p>
    <w:p w14:paraId="2375A8A9" w14:textId="77777777" w:rsidR="0018255F" w:rsidRPr="0018255F" w:rsidRDefault="0018255F" w:rsidP="0018255F">
      <w:pPr>
        <w:ind w:left="480" w:right="-90" w:hanging="480"/>
        <w:rPr>
          <w:rFonts w:ascii="Abadi" w:hAnsi="Abadi"/>
          <w:sz w:val="24"/>
          <w:szCs w:val="24"/>
        </w:rPr>
      </w:pPr>
    </w:p>
    <w:p w14:paraId="51AB8017" w14:textId="529D5E76" w:rsidR="00DF147D" w:rsidRDefault="00000000" w:rsidP="0018255F">
      <w:pPr>
        <w:ind w:left="480" w:right="-90" w:hanging="480"/>
        <w:rPr>
          <w:rFonts w:ascii="Abadi" w:eastAsia="Calibri" w:hAnsi="Abadi" w:cs="Calibri"/>
          <w:sz w:val="24"/>
          <w:szCs w:val="24"/>
        </w:rPr>
      </w:pPr>
      <w:r>
        <w:rPr>
          <w:rFonts w:ascii="Abadi" w:eastAsia="Calibri" w:hAnsi="Abadi" w:cs="Calibri"/>
          <w:sz w:val="24"/>
          <w:szCs w:val="24"/>
        </w:rPr>
        <w:t xml:space="preserve">OPEP (2024). Annual Statistical Bulletin 2024. Organization of the Petroleum Exporting Countries. </w:t>
      </w:r>
      <w:hyperlink r:id="rId9" w:history="1">
        <w:r>
          <w:rPr>
            <w:rStyle w:val="Hipervnculo"/>
            <w:rFonts w:ascii="Abadi" w:eastAsia="Calibri" w:hAnsi="Abadi" w:cs="Calibri"/>
            <w:sz w:val="24"/>
            <w:szCs w:val="24"/>
          </w:rPr>
          <w:t>https://www.opec.org/opec_web/en/data_graphs/330.htm</w:t>
        </w:r>
      </w:hyperlink>
    </w:p>
    <w:p w14:paraId="3E57F769" w14:textId="77777777" w:rsidR="0018255F" w:rsidRPr="0018255F" w:rsidRDefault="0018255F" w:rsidP="0018255F">
      <w:pPr>
        <w:ind w:left="480" w:right="-90" w:hanging="480"/>
        <w:rPr>
          <w:rFonts w:ascii="Abadi" w:hAnsi="Abadi"/>
          <w:sz w:val="24"/>
          <w:szCs w:val="24"/>
        </w:rPr>
      </w:pPr>
    </w:p>
    <w:p w14:paraId="3B5DCEAB" w14:textId="00FD2134" w:rsidR="00DF147D" w:rsidRDefault="00000000" w:rsidP="0018255F">
      <w:pPr>
        <w:ind w:left="480" w:hanging="480"/>
        <w:rPr>
          <w:rFonts w:ascii="Abadi" w:eastAsia="Calibri" w:hAnsi="Abadi" w:cs="Calibri"/>
          <w:sz w:val="24"/>
          <w:szCs w:val="24"/>
          <w:lang w:val="en-US"/>
        </w:rPr>
      </w:pPr>
      <w:r>
        <w:rPr>
          <w:rFonts w:ascii="Abadi" w:eastAsia="Calibri" w:hAnsi="Abadi" w:cs="Calibri"/>
          <w:sz w:val="24"/>
          <w:szCs w:val="24"/>
        </w:rPr>
        <w:t xml:space="preserve">FMI (octubre 2024). World Economic Outlook: Policy Pivot, Rising Threats. </w:t>
      </w:r>
      <w:r>
        <w:rPr>
          <w:rFonts w:ascii="Abadi" w:eastAsia="Calibri" w:hAnsi="Abadi" w:cs="Calibri"/>
          <w:sz w:val="24"/>
          <w:szCs w:val="24"/>
          <w:lang w:val="en-US"/>
        </w:rPr>
        <w:t xml:space="preserve">International Monetary Fund. </w:t>
      </w:r>
      <w:hyperlink r:id="rId10" w:history="1">
        <w:r>
          <w:rPr>
            <w:rStyle w:val="Hipervnculo"/>
            <w:rFonts w:ascii="Abadi" w:eastAsia="Calibri" w:hAnsi="Abadi" w:cs="Calibri"/>
            <w:sz w:val="24"/>
            <w:szCs w:val="24"/>
            <w:lang w:val="en-US"/>
          </w:rPr>
          <w:t>https://www.imf.org/en/Publications/WEO</w:t>
        </w:r>
      </w:hyperlink>
    </w:p>
    <w:p w14:paraId="35378D72" w14:textId="77777777" w:rsidR="0018255F" w:rsidRPr="0018255F" w:rsidRDefault="0018255F" w:rsidP="0018255F">
      <w:pPr>
        <w:ind w:left="480" w:hanging="480"/>
        <w:rPr>
          <w:rFonts w:ascii="Abadi" w:hAnsi="Abadi"/>
          <w:sz w:val="24"/>
          <w:szCs w:val="24"/>
          <w:lang w:val="en-US"/>
        </w:rPr>
      </w:pPr>
    </w:p>
    <w:p w14:paraId="18CE4792" w14:textId="0B05846A" w:rsidR="00DF147D" w:rsidRDefault="00000000" w:rsidP="0018255F">
      <w:pPr>
        <w:ind w:left="480" w:hanging="480"/>
        <w:rPr>
          <w:rFonts w:ascii="Abadi" w:eastAsia="Calibri" w:hAnsi="Abadi" w:cs="Calibri"/>
          <w:sz w:val="24"/>
          <w:szCs w:val="24"/>
          <w:lang w:val="en-US"/>
        </w:rPr>
      </w:pPr>
      <w:r>
        <w:rPr>
          <w:rFonts w:ascii="Abadi" w:eastAsia="Calibri" w:hAnsi="Abadi" w:cs="Calibri"/>
          <w:sz w:val="24"/>
          <w:szCs w:val="24"/>
          <w:lang w:val="en-US"/>
        </w:rPr>
        <w:t xml:space="preserve">BCV / Finanzas Digital (2025). Venezuela GDP Second Quarter 2025 — Economic Growth. </w:t>
      </w:r>
      <w:hyperlink r:id="rId11" w:history="1">
        <w:r>
          <w:rPr>
            <w:rStyle w:val="Hipervnculo"/>
            <w:rFonts w:ascii="Abadi" w:eastAsia="Calibri" w:hAnsi="Abadi" w:cs="Calibri"/>
            <w:sz w:val="24"/>
            <w:szCs w:val="24"/>
            <w:lang w:val="en-US"/>
          </w:rPr>
          <w:t>https://finanzasdigital.com/pib-venezuela-segundo-trimestre-2025-crecimiento-economico-bcv-maduro/</w:t>
        </w:r>
      </w:hyperlink>
    </w:p>
    <w:p w14:paraId="559C54E0" w14:textId="77777777" w:rsidR="0018255F" w:rsidRPr="0018255F" w:rsidRDefault="0018255F" w:rsidP="0018255F">
      <w:pPr>
        <w:ind w:left="480" w:hanging="480"/>
        <w:rPr>
          <w:rFonts w:ascii="Abadi" w:hAnsi="Abadi"/>
          <w:sz w:val="24"/>
          <w:szCs w:val="24"/>
          <w:lang w:val="en-US"/>
        </w:rPr>
      </w:pPr>
    </w:p>
    <w:p w14:paraId="3C9C7086" w14:textId="627A8FB8" w:rsidR="00DF147D" w:rsidRDefault="00000000" w:rsidP="0018255F">
      <w:pPr>
        <w:ind w:left="480" w:hanging="480"/>
        <w:rPr>
          <w:rFonts w:ascii="Abadi" w:eastAsia="Calibri" w:hAnsi="Abadi" w:cs="Calibri"/>
          <w:sz w:val="24"/>
          <w:szCs w:val="24"/>
          <w:lang w:val="en-US"/>
        </w:rPr>
      </w:pPr>
      <w:r>
        <w:rPr>
          <w:rFonts w:ascii="Abadi" w:eastAsia="Calibri" w:hAnsi="Abadi" w:cs="Calibri"/>
          <w:sz w:val="24"/>
          <w:szCs w:val="24"/>
          <w:lang w:val="en-US"/>
        </w:rPr>
        <w:t xml:space="preserve">América Económica (2025). Venezuela's GDP grows 9.32% in Q1 2025 driven by oil and mining. </w:t>
      </w:r>
      <w:hyperlink r:id="rId12" w:history="1">
        <w:r>
          <w:rPr>
            <w:rStyle w:val="Hipervnculo"/>
            <w:rFonts w:ascii="Abadi" w:eastAsia="Calibri" w:hAnsi="Abadi" w:cs="Calibri"/>
            <w:sz w:val="24"/>
            <w:szCs w:val="24"/>
            <w:lang w:val="en-US"/>
          </w:rPr>
          <w:t>https://americaeconomica.com/</w:t>
        </w:r>
      </w:hyperlink>
    </w:p>
    <w:p w14:paraId="7D5ECB6F" w14:textId="77777777" w:rsidR="0018255F" w:rsidRPr="0018255F" w:rsidRDefault="0018255F" w:rsidP="0018255F">
      <w:pPr>
        <w:ind w:left="480" w:hanging="480"/>
        <w:rPr>
          <w:rFonts w:ascii="Abadi" w:hAnsi="Abadi"/>
          <w:sz w:val="24"/>
          <w:szCs w:val="24"/>
          <w:lang w:val="en-US"/>
        </w:rPr>
      </w:pPr>
    </w:p>
    <w:p w14:paraId="58959F44" w14:textId="1225F65F" w:rsidR="00DF147D" w:rsidRDefault="00000000" w:rsidP="0018255F">
      <w:pPr>
        <w:ind w:left="480" w:hanging="480"/>
        <w:rPr>
          <w:rFonts w:ascii="Abadi" w:eastAsia="Calibri" w:hAnsi="Abadi" w:cs="Calibri"/>
          <w:sz w:val="24"/>
          <w:szCs w:val="24"/>
          <w:lang w:val="en-US"/>
        </w:rPr>
      </w:pPr>
      <w:r>
        <w:rPr>
          <w:rFonts w:ascii="Abadi" w:eastAsia="Calibri" w:hAnsi="Abadi" w:cs="Calibri"/>
          <w:sz w:val="24"/>
          <w:szCs w:val="24"/>
          <w:lang w:val="en-US"/>
        </w:rPr>
        <w:t xml:space="preserve">UNDP (2025). Venezuela Macroeconomic Performance — Quarterly Report. </w:t>
      </w:r>
      <w:hyperlink r:id="rId13" w:history="1">
        <w:r>
          <w:rPr>
            <w:rStyle w:val="Hipervnculo"/>
            <w:rFonts w:ascii="Abadi" w:eastAsia="Calibri" w:hAnsi="Abadi" w:cs="Calibri"/>
            <w:sz w:val="24"/>
            <w:szCs w:val="24"/>
            <w:lang w:val="en-US"/>
          </w:rPr>
          <w:t>https://www.undp.org/sites/g/files/zskgke326/files/2025-09/reportemacroeconomicos2501_digital_v3.pdf</w:t>
        </w:r>
      </w:hyperlink>
    </w:p>
    <w:p w14:paraId="554853E4" w14:textId="77777777" w:rsidR="0018255F" w:rsidRPr="0018255F" w:rsidRDefault="0018255F" w:rsidP="0018255F">
      <w:pPr>
        <w:ind w:left="480" w:hanging="480"/>
        <w:rPr>
          <w:rFonts w:ascii="Abadi" w:hAnsi="Abadi"/>
          <w:sz w:val="24"/>
          <w:szCs w:val="24"/>
          <w:lang w:val="en-US"/>
        </w:rPr>
      </w:pPr>
    </w:p>
    <w:p w14:paraId="7F0BE4B1" w14:textId="2A7856B6" w:rsidR="00DF147D" w:rsidRDefault="00000000" w:rsidP="0018255F">
      <w:pPr>
        <w:ind w:left="480" w:hanging="480"/>
        <w:rPr>
          <w:rFonts w:ascii="Abadi" w:eastAsia="Calibri" w:hAnsi="Abadi" w:cs="Calibri"/>
          <w:sz w:val="24"/>
          <w:szCs w:val="24"/>
          <w:lang w:val="en-US"/>
        </w:rPr>
      </w:pPr>
      <w:r>
        <w:rPr>
          <w:rFonts w:ascii="Abadi" w:eastAsia="Calibri" w:hAnsi="Abadi" w:cs="Calibri"/>
          <w:sz w:val="24"/>
          <w:szCs w:val="24"/>
          <w:lang w:val="en-US"/>
        </w:rPr>
        <w:t xml:space="preserve">Ecoanalítica / Efecto Cocuyo (2025). Economic projections for 2025: The situation is quite complex. </w:t>
      </w:r>
      <w:hyperlink r:id="rId14" w:history="1">
        <w:r>
          <w:rPr>
            <w:rStyle w:val="Hipervnculo"/>
            <w:rFonts w:ascii="Abadi" w:eastAsia="Calibri" w:hAnsi="Abadi" w:cs="Calibri"/>
            <w:sz w:val="24"/>
            <w:szCs w:val="24"/>
            <w:lang w:val="en-US"/>
          </w:rPr>
          <w:t>https://efectococuyo.com/politica/proyecciones-economicas-2025-ecoanalitica-situacion-bastante-compleja/</w:t>
        </w:r>
      </w:hyperlink>
    </w:p>
    <w:p w14:paraId="6D4868D1" w14:textId="77777777" w:rsidR="0018255F" w:rsidRPr="0018255F" w:rsidRDefault="0018255F" w:rsidP="0018255F">
      <w:pPr>
        <w:ind w:left="480" w:hanging="480"/>
        <w:rPr>
          <w:rFonts w:ascii="Abadi" w:hAnsi="Abadi"/>
          <w:sz w:val="24"/>
          <w:szCs w:val="24"/>
          <w:lang w:val="en-US"/>
        </w:rPr>
      </w:pPr>
    </w:p>
    <w:p w14:paraId="06515736" w14:textId="6BC0AE84" w:rsidR="00DF147D" w:rsidRDefault="00000000" w:rsidP="0018255F">
      <w:pPr>
        <w:ind w:left="480" w:hanging="480"/>
        <w:rPr>
          <w:rFonts w:ascii="Abadi" w:eastAsia="Calibri" w:hAnsi="Abadi" w:cs="Calibri"/>
          <w:sz w:val="24"/>
          <w:szCs w:val="24"/>
          <w:lang w:val="en-US"/>
        </w:rPr>
      </w:pPr>
      <w:r>
        <w:rPr>
          <w:rFonts w:ascii="Abadi" w:eastAsia="Calibri" w:hAnsi="Abadi" w:cs="Calibri"/>
          <w:sz w:val="24"/>
          <w:szCs w:val="24"/>
          <w:lang w:val="en-US"/>
        </w:rPr>
        <w:t xml:space="preserve">Infobae (Jan. 2025). Venezuela's oil production grows 17.6% in 2024. </w:t>
      </w:r>
      <w:hyperlink r:id="rId15" w:history="1">
        <w:r>
          <w:rPr>
            <w:rStyle w:val="Hipervnculo"/>
            <w:rFonts w:ascii="Abadi" w:eastAsia="Calibri" w:hAnsi="Abadi" w:cs="Calibri"/>
            <w:sz w:val="24"/>
            <w:szCs w:val="24"/>
            <w:lang w:val="en-US"/>
          </w:rPr>
          <w:t>https://www.infobae.com/america/agencias/2025/01/15/la-produccion-petrolera-de-venezuela-crece-un-176-en-2024/</w:t>
        </w:r>
      </w:hyperlink>
    </w:p>
    <w:p w14:paraId="3139D3AF" w14:textId="77777777" w:rsidR="0018255F" w:rsidRPr="0018255F" w:rsidRDefault="0018255F" w:rsidP="0018255F">
      <w:pPr>
        <w:ind w:left="480" w:hanging="480"/>
        <w:rPr>
          <w:rFonts w:ascii="Abadi" w:hAnsi="Abadi"/>
          <w:sz w:val="24"/>
          <w:szCs w:val="24"/>
          <w:lang w:val="en-US"/>
        </w:rPr>
      </w:pPr>
    </w:p>
    <w:p w14:paraId="798B5E4C" w14:textId="498A25A2" w:rsidR="00DF147D" w:rsidRDefault="00000000" w:rsidP="0018255F">
      <w:pPr>
        <w:ind w:left="480" w:hanging="480"/>
        <w:rPr>
          <w:rFonts w:ascii="Abadi" w:eastAsia="Calibri" w:hAnsi="Abadi" w:cs="Calibri"/>
          <w:sz w:val="24"/>
          <w:szCs w:val="24"/>
          <w:lang w:val="en-US"/>
        </w:rPr>
      </w:pPr>
      <w:r>
        <w:rPr>
          <w:rFonts w:ascii="Abadi" w:eastAsia="Calibri" w:hAnsi="Abadi" w:cs="Calibri"/>
          <w:sz w:val="24"/>
          <w:szCs w:val="24"/>
          <w:lang w:val="en-US"/>
        </w:rPr>
        <w:t xml:space="preserve">Venezuela Consolidates Oil Recovery (2025). Venezuelan Observatory. </w:t>
      </w:r>
      <w:hyperlink r:id="rId16" w:history="1">
        <w:r>
          <w:rPr>
            <w:rStyle w:val="Hipervnculo"/>
            <w:rFonts w:ascii="Abadi" w:eastAsia="Calibri" w:hAnsi="Abadi" w:cs="Calibri"/>
            <w:sz w:val="24"/>
            <w:szCs w:val="24"/>
            <w:lang w:val="en-US"/>
          </w:rPr>
          <w:t>https://observatorio.gob.ve/venezuela-afianza-recuperacion-petrolera-al-superar-1-millon-de-barriles-diarios-en-enero/</w:t>
        </w:r>
      </w:hyperlink>
    </w:p>
    <w:p w14:paraId="21064276" w14:textId="77777777" w:rsidR="0018255F" w:rsidRPr="0018255F" w:rsidRDefault="0018255F" w:rsidP="0018255F">
      <w:pPr>
        <w:ind w:left="480" w:hanging="480"/>
        <w:rPr>
          <w:rFonts w:ascii="Abadi" w:hAnsi="Abadi"/>
          <w:sz w:val="24"/>
          <w:szCs w:val="24"/>
          <w:lang w:val="en-US"/>
        </w:rPr>
      </w:pPr>
    </w:p>
    <w:p w14:paraId="72AD85D6" w14:textId="5AA3FC6C" w:rsidR="00DF147D" w:rsidRDefault="00000000" w:rsidP="0018255F">
      <w:pPr>
        <w:ind w:left="480" w:hanging="480"/>
        <w:rPr>
          <w:rFonts w:ascii="Abadi" w:eastAsia="Calibri" w:hAnsi="Abadi" w:cs="Calibri"/>
          <w:sz w:val="24"/>
          <w:szCs w:val="24"/>
        </w:rPr>
      </w:pPr>
      <w:r>
        <w:rPr>
          <w:rFonts w:ascii="Abadi" w:eastAsia="Calibri" w:hAnsi="Abadi" w:cs="Calibri"/>
          <w:sz w:val="24"/>
          <w:szCs w:val="24"/>
        </w:rPr>
        <w:t xml:space="preserve">Khaleej Times (sep. 2026). Chevron Expands Venezuela Presence with $7 Billion Plan to Double Output in Five Years. </w:t>
      </w:r>
      <w:hyperlink r:id="rId17" w:history="1">
        <w:r>
          <w:rPr>
            <w:rStyle w:val="Hipervnculo"/>
            <w:rFonts w:ascii="Abadi" w:eastAsia="Calibri" w:hAnsi="Abadi" w:cs="Calibri"/>
            <w:sz w:val="24"/>
            <w:szCs w:val="24"/>
          </w:rPr>
          <w:t>https://www.khaleejtimes.com/business/chevron-expands-venezuela-presence-with-7-billion-plan-to-double-output-in-five-years</w:t>
        </w:r>
      </w:hyperlink>
    </w:p>
    <w:p w14:paraId="34F7E6B7" w14:textId="77777777" w:rsidR="0018255F" w:rsidRPr="0018255F" w:rsidRDefault="0018255F" w:rsidP="0018255F">
      <w:pPr>
        <w:ind w:left="480" w:hanging="480"/>
        <w:rPr>
          <w:rFonts w:ascii="Abadi" w:hAnsi="Abadi"/>
          <w:sz w:val="24"/>
          <w:szCs w:val="24"/>
        </w:rPr>
      </w:pPr>
    </w:p>
    <w:p w14:paraId="05F4693E" w14:textId="579DA8B4" w:rsidR="00DF147D" w:rsidRDefault="00000000" w:rsidP="0018255F">
      <w:pPr>
        <w:ind w:left="480" w:hanging="480"/>
        <w:rPr>
          <w:rFonts w:ascii="Abadi" w:eastAsia="Calibri" w:hAnsi="Abadi" w:cs="Calibri"/>
          <w:sz w:val="24"/>
          <w:szCs w:val="24"/>
        </w:rPr>
      </w:pPr>
      <w:r>
        <w:rPr>
          <w:rFonts w:ascii="Abadi" w:eastAsia="Calibri" w:hAnsi="Abadi" w:cs="Calibri"/>
          <w:sz w:val="24"/>
          <w:szCs w:val="24"/>
        </w:rPr>
        <w:t xml:space="preserve">NPR (sep. 2026). Chevron to Expand in Venezuela, Days after the U.S. and Venezuela Strike Oil Deal. </w:t>
      </w:r>
      <w:hyperlink r:id="rId18" w:history="1">
        <w:r>
          <w:rPr>
            <w:rStyle w:val="Hipervnculo"/>
            <w:rFonts w:ascii="Abadi" w:eastAsia="Calibri" w:hAnsi="Abadi" w:cs="Calibri"/>
            <w:sz w:val="24"/>
            <w:szCs w:val="24"/>
          </w:rPr>
          <w:t>https://npr.org/2026/09/02/nx-s1-5952190/chevron-venezuela-oil-deal</w:t>
        </w:r>
      </w:hyperlink>
    </w:p>
    <w:p w14:paraId="4E9AE651" w14:textId="77777777" w:rsidR="0018255F" w:rsidRPr="0018255F" w:rsidRDefault="0018255F" w:rsidP="0018255F">
      <w:pPr>
        <w:ind w:left="480" w:hanging="480"/>
        <w:rPr>
          <w:rFonts w:ascii="Abadi" w:hAnsi="Abadi"/>
          <w:sz w:val="24"/>
          <w:szCs w:val="24"/>
        </w:rPr>
      </w:pPr>
    </w:p>
    <w:p w14:paraId="0C7624CD" w14:textId="45627E99" w:rsidR="00DF147D" w:rsidRDefault="00000000" w:rsidP="0018255F">
      <w:pPr>
        <w:ind w:left="480" w:hanging="480"/>
        <w:rPr>
          <w:rFonts w:ascii="Abadi" w:eastAsia="Calibri" w:hAnsi="Abadi" w:cs="Calibri"/>
          <w:sz w:val="24"/>
          <w:szCs w:val="24"/>
        </w:rPr>
      </w:pPr>
      <w:r>
        <w:rPr>
          <w:rFonts w:ascii="Abadi" w:eastAsia="Calibri" w:hAnsi="Abadi" w:cs="Calibri"/>
          <w:sz w:val="24"/>
          <w:szCs w:val="24"/>
        </w:rPr>
        <w:t xml:space="preserve">OilNow (2025). Chevron Says It Can Boost Venezuela Production Up to 50% in 24 Months. </w:t>
      </w:r>
      <w:hyperlink r:id="rId19" w:history="1">
        <w:r>
          <w:rPr>
            <w:rStyle w:val="Hipervnculo"/>
            <w:rFonts w:ascii="Abadi" w:eastAsia="Calibri" w:hAnsi="Abadi" w:cs="Calibri"/>
            <w:sz w:val="24"/>
            <w:szCs w:val="24"/>
          </w:rPr>
          <w:t>https://oilnow.gy/news/chevron-says-it-can-boost-venezuela-production-up-to-50-in-24-months/</w:t>
        </w:r>
      </w:hyperlink>
    </w:p>
    <w:p w14:paraId="5ABAA74C" w14:textId="77777777" w:rsidR="0018255F" w:rsidRPr="0018255F" w:rsidRDefault="0018255F" w:rsidP="0018255F">
      <w:pPr>
        <w:ind w:left="480" w:hanging="480"/>
        <w:rPr>
          <w:rFonts w:ascii="Abadi" w:hAnsi="Abadi"/>
          <w:sz w:val="24"/>
          <w:szCs w:val="24"/>
        </w:rPr>
      </w:pPr>
    </w:p>
    <w:p w14:paraId="2B6E8592" w14:textId="4282A03B" w:rsidR="00DF147D" w:rsidRDefault="00000000" w:rsidP="0018255F">
      <w:pPr>
        <w:ind w:left="480" w:hanging="480"/>
        <w:rPr>
          <w:rFonts w:ascii="Abadi" w:eastAsia="Calibri" w:hAnsi="Abadi" w:cs="Calibri"/>
          <w:sz w:val="24"/>
          <w:szCs w:val="24"/>
        </w:rPr>
      </w:pPr>
      <w:r>
        <w:rPr>
          <w:rFonts w:ascii="Abadi" w:eastAsia="Calibri" w:hAnsi="Abadi" w:cs="Calibri"/>
          <w:sz w:val="24"/>
          <w:szCs w:val="24"/>
        </w:rPr>
        <w:t xml:space="preserve">BloombergNEF (2025). Venezuela's Oil Renaissance Faces Several High Hurdles. </w:t>
      </w:r>
      <w:hyperlink r:id="rId20" w:history="1">
        <w:r>
          <w:rPr>
            <w:rStyle w:val="Hipervnculo"/>
            <w:rFonts w:ascii="Abadi" w:eastAsia="Calibri" w:hAnsi="Abadi" w:cs="Calibri"/>
            <w:sz w:val="24"/>
            <w:szCs w:val="24"/>
          </w:rPr>
          <w:t>https://about.bnef.com/insights/commodities/venezuelas-oil-renaissance-faces-several-high-hurdles</w:t>
        </w:r>
      </w:hyperlink>
    </w:p>
    <w:p w14:paraId="794361F2" w14:textId="77777777" w:rsidR="0018255F" w:rsidRPr="0018255F" w:rsidRDefault="0018255F" w:rsidP="0018255F">
      <w:pPr>
        <w:ind w:left="480" w:hanging="480"/>
        <w:rPr>
          <w:rFonts w:ascii="Abadi" w:hAnsi="Abadi"/>
          <w:sz w:val="24"/>
          <w:szCs w:val="24"/>
        </w:rPr>
      </w:pPr>
    </w:p>
    <w:p w14:paraId="4A06F540" w14:textId="77777777" w:rsidR="00DF147D" w:rsidRPr="0018255F" w:rsidRDefault="00000000" w:rsidP="0018255F">
      <w:pPr>
        <w:ind w:left="480" w:hanging="480"/>
        <w:rPr>
          <w:rFonts w:ascii="Abadi" w:hAnsi="Abadi"/>
          <w:sz w:val="24"/>
          <w:szCs w:val="24"/>
        </w:rPr>
      </w:pPr>
      <w:r>
        <w:rPr>
          <w:rFonts w:ascii="Abadi" w:eastAsia="Calibri" w:hAnsi="Abadi" w:cs="Calibri"/>
          <w:sz w:val="24"/>
          <w:szCs w:val="24"/>
        </w:rPr>
        <w:t xml:space="preserve">Río Times Online (Sep. 2026). Venezuela Second US Crude Supplier for 18 Weeks in 2026. https://www.riotimesonline.com/venezuela-second-us-crude-supplier-18-weeks-2026/</w:t>
      </w:r>
    </w:p>
    <w:p w14:paraId="07FB6F78" w14:textId="34AF35DB" w:rsidR="00DF147D" w:rsidRDefault="00000000" w:rsidP="0018255F">
      <w:pPr>
        <w:ind w:left="480" w:hanging="480"/>
        <w:rPr>
          <w:rFonts w:ascii="Abadi" w:eastAsia="Calibri" w:hAnsi="Abadi" w:cs="Calibri"/>
          <w:sz w:val="24"/>
          <w:szCs w:val="24"/>
          <w:lang w:val="en-US"/>
        </w:rPr>
      </w:pPr>
      <w:r>
        <w:rPr>
          <w:rFonts w:ascii="Abadi" w:eastAsia="Calibri" w:hAnsi="Abadi" w:cs="Calibri"/>
          <w:sz w:val="24"/>
          <w:szCs w:val="24"/>
          <w:lang w:val="en-US"/>
        </w:rPr>
        <w:lastRenderedPageBreak/>
        <w:t xml:space="preserve">Resumen Latinoamericano (Jul. 2025). Venezuela: Caracas ready to export the first gas molecule. </w:t>
      </w:r>
      <w:hyperlink r:id="rId21" w:history="1">
        <w:r>
          <w:rPr>
            <w:rStyle w:val="Hipervnculo"/>
            <w:rFonts w:ascii="Abadi" w:eastAsia="Calibri" w:hAnsi="Abadi" w:cs="Calibri"/>
            <w:sz w:val="24"/>
            <w:szCs w:val="24"/>
            <w:lang w:val="en-US"/>
          </w:rPr>
          <w:t>https://www.resumenlatinoamericano.org/2025/07/10/</w:t>
        </w:r>
      </w:hyperlink>
    </w:p>
    <w:p w14:paraId="39BC357D" w14:textId="77777777" w:rsidR="0018255F" w:rsidRPr="0018255F" w:rsidRDefault="0018255F" w:rsidP="0018255F">
      <w:pPr>
        <w:ind w:left="480" w:hanging="480"/>
        <w:rPr>
          <w:rFonts w:ascii="Abadi" w:hAnsi="Abadi"/>
          <w:sz w:val="24"/>
          <w:szCs w:val="24"/>
          <w:lang w:val="en-US"/>
        </w:rPr>
      </w:pPr>
    </w:p>
    <w:p w14:paraId="53F0128E" w14:textId="5413F4F0" w:rsidR="00DF147D" w:rsidRDefault="00000000" w:rsidP="0018255F">
      <w:pPr>
        <w:ind w:left="480" w:hanging="480"/>
        <w:rPr>
          <w:rFonts w:ascii="Abadi" w:eastAsia="Calibri" w:hAnsi="Abadi" w:cs="Calibri"/>
          <w:sz w:val="24"/>
          <w:szCs w:val="24"/>
        </w:rPr>
      </w:pPr>
      <w:r>
        <w:rPr>
          <w:rFonts w:ascii="Abadi" w:eastAsia="Calibri" w:hAnsi="Abadi" w:cs="Calibri"/>
          <w:sz w:val="24"/>
          <w:szCs w:val="24"/>
        </w:rPr>
        <w:t xml:space="preserve">Global Energy Monitor (2025). Dragon Gas Field (Venezuela). </w:t>
      </w:r>
      <w:hyperlink r:id="rId22" w:history="1">
        <w:r>
          <w:rPr>
            <w:rStyle w:val="Hipervnculo"/>
            <w:rFonts w:ascii="Abadi" w:eastAsia="Calibri" w:hAnsi="Abadi" w:cs="Calibri"/>
            <w:sz w:val="24"/>
            <w:szCs w:val="24"/>
          </w:rPr>
          <w:t>https://www.gem.wiki/Dragon_Gas_Field_(Venezuela)</w:t>
        </w:r>
      </w:hyperlink>
    </w:p>
    <w:p w14:paraId="103591DA" w14:textId="77777777" w:rsidR="0018255F" w:rsidRPr="0018255F" w:rsidRDefault="0018255F" w:rsidP="0018255F">
      <w:pPr>
        <w:ind w:left="480" w:hanging="480"/>
        <w:rPr>
          <w:rFonts w:ascii="Abadi" w:hAnsi="Abadi"/>
          <w:sz w:val="24"/>
          <w:szCs w:val="24"/>
        </w:rPr>
      </w:pPr>
    </w:p>
    <w:p w14:paraId="3C04A1C3" w14:textId="71A4139B" w:rsidR="00DF147D" w:rsidRDefault="00000000" w:rsidP="0018255F">
      <w:pPr>
        <w:ind w:left="480" w:hanging="480"/>
        <w:rPr>
          <w:rFonts w:ascii="Abadi" w:eastAsia="Calibri" w:hAnsi="Abadi" w:cs="Calibri"/>
          <w:sz w:val="24"/>
          <w:szCs w:val="24"/>
        </w:rPr>
      </w:pPr>
      <w:r>
        <w:rPr>
          <w:rFonts w:ascii="Abadi" w:eastAsia="Calibri" w:hAnsi="Abadi" w:cs="Calibri"/>
          <w:sz w:val="24"/>
          <w:szCs w:val="24"/>
        </w:rPr>
        <w:t xml:space="preserve">Hart Energy (2025). Chart Talk: Trinidad Eyes Venezuelan Gas Supply from Mariscal Sucre Project. </w:t>
      </w:r>
      <w:hyperlink r:id="rId23" w:history="1">
        <w:r>
          <w:rPr>
            <w:rStyle w:val="Hipervnculo"/>
            <w:rFonts w:ascii="Abadi" w:eastAsia="Calibri" w:hAnsi="Abadi" w:cs="Calibri"/>
            <w:sz w:val="24"/>
            <w:szCs w:val="24"/>
          </w:rPr>
          <w:t>https://www.hartenergy.com/exclusives/chart-talk-trinidad-eyes-venezuelan-gas-supply-mariscal-sucre-project-203970/</w:t>
        </w:r>
      </w:hyperlink>
    </w:p>
    <w:p w14:paraId="21F413AC" w14:textId="77777777" w:rsidR="0018255F" w:rsidRPr="0018255F" w:rsidRDefault="0018255F" w:rsidP="0018255F">
      <w:pPr>
        <w:ind w:left="480" w:hanging="480"/>
        <w:rPr>
          <w:rFonts w:ascii="Abadi" w:hAnsi="Abadi"/>
          <w:sz w:val="24"/>
          <w:szCs w:val="24"/>
        </w:rPr>
      </w:pPr>
    </w:p>
    <w:p w14:paraId="18BE76F5" w14:textId="3B8463D7" w:rsidR="00DF147D" w:rsidRDefault="00000000" w:rsidP="0018255F">
      <w:pPr>
        <w:ind w:left="480" w:hanging="480"/>
        <w:rPr>
          <w:rFonts w:ascii="Abadi" w:eastAsia="Calibri" w:hAnsi="Abadi" w:cs="Calibri"/>
          <w:sz w:val="24"/>
          <w:szCs w:val="24"/>
          <w:lang w:val="en-US"/>
        </w:rPr>
      </w:pPr>
      <w:r>
        <w:rPr>
          <w:rFonts w:ascii="Abadi" w:eastAsia="Calibri" w:hAnsi="Abadi" w:cs="Calibri"/>
          <w:sz w:val="24"/>
          <w:szCs w:val="24"/>
          <w:lang w:val="en-US"/>
        </w:rPr>
        <w:t xml:space="preserve">La Patilla (2025). Venezuelan mining is a sector with high potential, but weighed down by informality. </w:t>
      </w:r>
      <w:hyperlink r:id="rId24" w:history="1">
        <w:r>
          <w:rPr>
            <w:rStyle w:val="Hipervnculo"/>
            <w:rFonts w:ascii="Abadi" w:eastAsia="Calibri" w:hAnsi="Abadi" w:cs="Calibri"/>
            <w:sz w:val="24"/>
            <w:szCs w:val="24"/>
            <w:lang w:val="en-US"/>
          </w:rPr>
          <w:t>https://lapatilla.com/2025/08/08/la-mineria-venezolana-es-un-sector-con-alto-potencial-pero-lastrado-por-la-informalidad/</w:t>
        </w:r>
      </w:hyperlink>
    </w:p>
    <w:p w14:paraId="49B2F091" w14:textId="77777777" w:rsidR="0018255F" w:rsidRPr="0018255F" w:rsidRDefault="0018255F" w:rsidP="0018255F">
      <w:pPr>
        <w:ind w:left="480" w:hanging="480"/>
        <w:rPr>
          <w:rFonts w:ascii="Abadi" w:hAnsi="Abadi"/>
          <w:sz w:val="24"/>
          <w:szCs w:val="24"/>
          <w:lang w:val="en-US"/>
        </w:rPr>
      </w:pPr>
    </w:p>
    <w:p w14:paraId="5DE6428F" w14:textId="4EEAA52A" w:rsidR="00DF147D" w:rsidRDefault="00000000" w:rsidP="0018255F">
      <w:pPr>
        <w:ind w:left="480" w:hanging="480"/>
        <w:rPr>
          <w:rFonts w:ascii="Abadi" w:eastAsia="Calibri" w:hAnsi="Abadi" w:cs="Calibri"/>
          <w:sz w:val="24"/>
          <w:szCs w:val="24"/>
          <w:lang w:val="en-US"/>
        </w:rPr>
      </w:pPr>
      <w:r>
        <w:rPr>
          <w:rFonts w:ascii="Abadi" w:eastAsia="Calibri" w:hAnsi="Abadi" w:cs="Calibri"/>
          <w:sz w:val="24"/>
          <w:szCs w:val="24"/>
          <w:lang w:val="en-US"/>
        </w:rPr>
        <w:t xml:space="preserve">NTN24 (2025). Blackouts in Venezuela spread; Zulia concentrates the crisis and 99% of households report outages. </w:t>
      </w:r>
      <w:hyperlink r:id="rId25" w:history="1">
        <w:r>
          <w:rPr>
            <w:rStyle w:val="Hipervnculo"/>
            <w:rFonts w:ascii="Abadi" w:eastAsia="Calibri" w:hAnsi="Abadi" w:cs="Calibri"/>
            <w:sz w:val="24"/>
            <w:szCs w:val="24"/>
            <w:lang w:val="en-US"/>
          </w:rPr>
          <w:t>https://www.portafolio.co/internacional/apagones-en-venezuela-se-extienden-zulia-concentra-la-crisis-y-99-de-hogares-reporta-cortes-501908</w:t>
        </w:r>
      </w:hyperlink>
    </w:p>
    <w:p w14:paraId="094E6501" w14:textId="77777777" w:rsidR="0018255F" w:rsidRPr="0018255F" w:rsidRDefault="0018255F" w:rsidP="0018255F">
      <w:pPr>
        <w:ind w:left="480" w:hanging="480"/>
        <w:rPr>
          <w:rFonts w:ascii="Abadi" w:hAnsi="Abadi"/>
          <w:sz w:val="24"/>
          <w:szCs w:val="24"/>
          <w:lang w:val="en-US"/>
        </w:rPr>
      </w:pPr>
    </w:p>
    <w:p w14:paraId="65945292" w14:textId="2FB01064" w:rsidR="00DF147D" w:rsidRDefault="00000000" w:rsidP="0018255F">
      <w:pPr>
        <w:ind w:left="480" w:hanging="480"/>
        <w:rPr>
          <w:rFonts w:ascii="Abadi" w:eastAsia="Calibri" w:hAnsi="Abadi" w:cs="Calibri"/>
          <w:sz w:val="24"/>
          <w:szCs w:val="24"/>
          <w:lang w:val="en-US"/>
        </w:rPr>
      </w:pPr>
      <w:r>
        <w:rPr>
          <w:rFonts w:ascii="Abadi" w:eastAsia="Calibri" w:hAnsi="Abadi" w:cs="Calibri"/>
          <w:sz w:val="24"/>
          <w:szCs w:val="24"/>
          <w:lang w:val="en-US"/>
        </w:rPr>
        <w:t xml:space="preserve">El Diario (May 2026). Living without knowing when the power will go out: the routine that persists in Venezuelan regions. </w:t>
      </w:r>
      <w:hyperlink r:id="rId26" w:history="1">
        <w:r>
          <w:rPr>
            <w:rStyle w:val="Hipervnculo"/>
            <w:rFonts w:ascii="Abadi" w:eastAsia="Calibri" w:hAnsi="Abadi" w:cs="Calibri"/>
            <w:sz w:val="24"/>
            <w:szCs w:val="24"/>
            <w:lang w:val="en-US"/>
          </w:rPr>
          <w:t>https://eldiario.com/2026/05/09/cortes-electricos-venezuela/</w:t>
        </w:r>
      </w:hyperlink>
    </w:p>
    <w:p w14:paraId="2300B9FA" w14:textId="77777777" w:rsidR="0018255F" w:rsidRPr="0018255F" w:rsidRDefault="0018255F" w:rsidP="0018255F">
      <w:pPr>
        <w:ind w:left="480" w:hanging="480"/>
        <w:rPr>
          <w:rFonts w:ascii="Abadi" w:hAnsi="Abadi"/>
          <w:sz w:val="24"/>
          <w:szCs w:val="24"/>
          <w:lang w:val="en-US"/>
        </w:rPr>
      </w:pPr>
    </w:p>
    <w:p w14:paraId="06309717" w14:textId="65B6D91A" w:rsidR="00DF147D" w:rsidRDefault="00000000" w:rsidP="0018255F">
      <w:pPr>
        <w:ind w:left="480" w:hanging="480"/>
        <w:rPr>
          <w:rFonts w:ascii="Abadi" w:eastAsia="Calibri" w:hAnsi="Abadi" w:cs="Calibri"/>
          <w:sz w:val="24"/>
          <w:szCs w:val="24"/>
          <w:lang w:val="en-US"/>
        </w:rPr>
      </w:pPr>
      <w:r>
        <w:rPr>
          <w:rFonts w:ascii="Abadi" w:eastAsia="Calibri" w:hAnsi="Abadi" w:cs="Calibri"/>
          <w:sz w:val="24"/>
          <w:szCs w:val="24"/>
          <w:lang w:val="en-US"/>
        </w:rPr>
        <w:t xml:space="preserve">CNN en Español (Feb. 2026). A month after Maduro's capture. But Venezuelans live between uncertainty and expectation. </w:t>
      </w:r>
      <w:hyperlink r:id="rId27" w:history="1">
        <w:r>
          <w:rPr>
            <w:rStyle w:val="Hipervnculo"/>
            <w:rFonts w:ascii="Abadi" w:eastAsia="Calibri" w:hAnsi="Abadi" w:cs="Calibri"/>
            <w:sz w:val="24"/>
            <w:szCs w:val="24"/>
            <w:lang w:val="en-US"/>
          </w:rPr>
          <w:t>https://cnnespanol.cnn.com/2026/02/03/</w:t>
        </w:r>
      </w:hyperlink>
    </w:p>
    <w:p w14:paraId="06CAA28E" w14:textId="77777777" w:rsidR="0018255F" w:rsidRPr="0018255F" w:rsidRDefault="0018255F" w:rsidP="0018255F">
      <w:pPr>
        <w:ind w:left="480" w:hanging="480"/>
        <w:rPr>
          <w:rFonts w:ascii="Abadi" w:hAnsi="Abadi"/>
          <w:sz w:val="24"/>
          <w:szCs w:val="24"/>
          <w:lang w:val="en-US"/>
        </w:rPr>
      </w:pPr>
    </w:p>
    <w:p w14:paraId="1120FDFD" w14:textId="2F6FCE68" w:rsidR="00DF147D" w:rsidRDefault="00000000" w:rsidP="0018255F">
      <w:pPr>
        <w:ind w:left="480" w:hanging="480"/>
        <w:rPr>
          <w:rFonts w:ascii="Abadi" w:eastAsia="Calibri" w:hAnsi="Abadi" w:cs="Calibri"/>
          <w:sz w:val="24"/>
          <w:szCs w:val="24"/>
          <w:lang w:val="en-US"/>
        </w:rPr>
      </w:pPr>
      <w:r>
        <w:rPr>
          <w:rFonts w:ascii="Abadi" w:eastAsia="Calibri" w:hAnsi="Abadi" w:cs="Calibri"/>
          <w:sz w:val="24"/>
          <w:szCs w:val="24"/>
          <w:lang w:val="en-US"/>
        </w:rPr>
        <w:t xml:space="preserve">Infobae (Oct. 2026). Venezuelan opposition proposes a transition based on negotiation and free elections. </w:t>
      </w:r>
      <w:hyperlink r:id="rId28" w:history="1">
        <w:r>
          <w:rPr>
            <w:rStyle w:val="Hipervnculo"/>
            <w:rFonts w:ascii="Abadi" w:eastAsia="Calibri" w:hAnsi="Abadi" w:cs="Calibri"/>
            <w:sz w:val="24"/>
            <w:szCs w:val="24"/>
            <w:lang w:val="en-US"/>
          </w:rPr>
          <w:t>https://www.infobae.com/america/agencias/2026/10/18/</w:t>
        </w:r>
      </w:hyperlink>
    </w:p>
    <w:p w14:paraId="31C46BB6" w14:textId="77777777" w:rsidR="0018255F" w:rsidRPr="0018255F" w:rsidRDefault="0018255F" w:rsidP="0018255F">
      <w:pPr>
        <w:ind w:left="480" w:hanging="480"/>
        <w:rPr>
          <w:rFonts w:ascii="Abadi" w:hAnsi="Abadi"/>
          <w:sz w:val="24"/>
          <w:szCs w:val="24"/>
          <w:lang w:val="en-US"/>
        </w:rPr>
      </w:pPr>
    </w:p>
    <w:p w14:paraId="39BC81F7" w14:textId="4C381A62" w:rsidR="00DF147D" w:rsidRDefault="00000000" w:rsidP="0018255F">
      <w:pPr>
        <w:ind w:left="480" w:hanging="480"/>
        <w:rPr>
          <w:rFonts w:ascii="Abadi" w:eastAsia="Calibri" w:hAnsi="Abadi" w:cs="Calibri"/>
          <w:sz w:val="24"/>
          <w:szCs w:val="24"/>
          <w:lang w:val="en-US"/>
        </w:rPr>
      </w:pPr>
      <w:r>
        <w:rPr>
          <w:rFonts w:ascii="Abadi" w:eastAsia="Calibri" w:hAnsi="Abadi" w:cs="Calibri"/>
          <w:sz w:val="24"/>
          <w:szCs w:val="24"/>
          <w:lang w:val="en-US"/>
        </w:rPr>
        <w:t xml:space="preserve">Infobae (Oct. 2026). Venezuelan opposition called a national march to demand presidential elections in 2027. </w:t>
      </w:r>
      <w:hyperlink r:id="rId29" w:history="1">
        <w:r>
          <w:rPr>
            <w:rStyle w:val="Hipervnculo"/>
            <w:rFonts w:ascii="Abadi" w:eastAsia="Calibri" w:hAnsi="Abadi" w:cs="Calibri"/>
            <w:sz w:val="24"/>
            <w:szCs w:val="24"/>
            <w:lang w:val="en-US"/>
          </w:rPr>
          <w:t>https://www.infobae.com/venezuela/2026/10/20/</w:t>
        </w:r>
      </w:hyperlink>
    </w:p>
    <w:p w14:paraId="209A0E76" w14:textId="77777777" w:rsidR="0018255F" w:rsidRPr="0018255F" w:rsidRDefault="0018255F" w:rsidP="0018255F">
      <w:pPr>
        <w:ind w:left="480" w:hanging="480"/>
        <w:rPr>
          <w:rFonts w:ascii="Abadi" w:hAnsi="Abadi"/>
          <w:sz w:val="24"/>
          <w:szCs w:val="24"/>
          <w:lang w:val="en-US"/>
        </w:rPr>
      </w:pPr>
    </w:p>
    <w:p w14:paraId="0FD2BD45" w14:textId="6F512766" w:rsidR="00DF147D" w:rsidRDefault="00000000" w:rsidP="0018255F">
      <w:pPr>
        <w:ind w:left="480" w:hanging="480"/>
        <w:rPr>
          <w:rFonts w:ascii="Abadi" w:eastAsia="Calibri" w:hAnsi="Abadi" w:cs="Calibri"/>
          <w:sz w:val="24"/>
          <w:szCs w:val="24"/>
        </w:rPr>
      </w:pPr>
      <w:r>
        <w:rPr>
          <w:rFonts w:ascii="Abadi" w:eastAsia="Calibri" w:hAnsi="Abadi" w:cs="Calibri"/>
          <w:sz w:val="24"/>
          <w:szCs w:val="24"/>
        </w:rPr>
        <w:t xml:space="preserve">S&amp;P Global / OilNow (2025). China debt seen as major hurdle in Venezuela's bid to restructure US$150B+ liabilities. </w:t>
      </w:r>
      <w:hyperlink r:id="rId30" w:history="1">
        <w:r>
          <w:rPr>
            <w:rStyle w:val="Hipervnculo"/>
            <w:rFonts w:ascii="Abadi" w:eastAsia="Calibri" w:hAnsi="Abadi" w:cs="Calibri"/>
            <w:sz w:val="24"/>
            <w:szCs w:val="24"/>
          </w:rPr>
          <w:t>https://oilnow.gy/featured/china-debt-seen-as-major-hurdle-in-venezuelas-bid-to-restructure-us150b-liabilities-sp-global/</w:t>
        </w:r>
      </w:hyperlink>
    </w:p>
    <w:p w14:paraId="307D3ABA" w14:textId="77777777" w:rsidR="00D978F8" w:rsidRPr="0018255F" w:rsidRDefault="00D978F8" w:rsidP="0018255F">
      <w:pPr>
        <w:ind w:left="480" w:hanging="480"/>
        <w:rPr>
          <w:rFonts w:ascii="Abadi" w:hAnsi="Abadi"/>
          <w:sz w:val="24"/>
          <w:szCs w:val="24"/>
        </w:rPr>
      </w:pPr>
    </w:p>
    <w:p w14:paraId="22B3C00F" w14:textId="72CA1375" w:rsidR="00DF147D" w:rsidRDefault="00000000" w:rsidP="0018255F">
      <w:pPr>
        <w:ind w:left="480" w:hanging="480"/>
        <w:rPr>
          <w:rFonts w:ascii="Abadi" w:eastAsia="Calibri" w:hAnsi="Abadi" w:cs="Calibri"/>
          <w:sz w:val="24"/>
          <w:szCs w:val="24"/>
        </w:rPr>
      </w:pPr>
      <w:r>
        <w:rPr>
          <w:rFonts w:ascii="Abadi" w:eastAsia="Calibri" w:hAnsi="Abadi" w:cs="Calibri"/>
          <w:sz w:val="24"/>
          <w:szCs w:val="24"/>
        </w:rPr>
        <w:t xml:space="preserve">S&amp;P Global Commodity Insights (dic. 2023). Factbox: Seaborne trade reroutes away from Red Sea over Houthi attacks. </w:t>
      </w:r>
      <w:hyperlink r:id="rId31" w:history="1">
        <w:r>
          <w:rPr>
            <w:rStyle w:val="Hipervnculo"/>
            <w:rFonts w:ascii="Abadi" w:eastAsia="Calibri" w:hAnsi="Abadi" w:cs="Calibri"/>
            <w:sz w:val="24"/>
            <w:szCs w:val="24"/>
          </w:rPr>
          <w:t>https://www.spglobal.com/commodityinsights/en/market-insights/latest-news/shipping/122123-factbox-seaborne-trade-reroutes-away-from-red-sea-over-houthi-attacks</w:t>
        </w:r>
      </w:hyperlink>
    </w:p>
    <w:p w14:paraId="4CC4611D" w14:textId="77777777" w:rsidR="00D978F8" w:rsidRPr="0018255F" w:rsidRDefault="00D978F8" w:rsidP="0018255F">
      <w:pPr>
        <w:ind w:left="480" w:hanging="480"/>
        <w:rPr>
          <w:rFonts w:ascii="Abadi" w:hAnsi="Abadi"/>
          <w:sz w:val="24"/>
          <w:szCs w:val="24"/>
        </w:rPr>
      </w:pPr>
    </w:p>
    <w:p w14:paraId="64DBB792" w14:textId="74DBFA1F" w:rsidR="00DF147D" w:rsidRDefault="00000000" w:rsidP="0018255F">
      <w:pPr>
        <w:ind w:left="480" w:hanging="480"/>
        <w:rPr>
          <w:rFonts w:ascii="Abadi" w:eastAsia="Calibri" w:hAnsi="Abadi" w:cs="Calibri"/>
          <w:sz w:val="24"/>
          <w:szCs w:val="24"/>
          <w:lang w:val="en-US"/>
        </w:rPr>
      </w:pPr>
      <w:r>
        <w:rPr>
          <w:rFonts w:ascii="Abadi" w:eastAsia="Calibri" w:hAnsi="Abadi" w:cs="Calibri"/>
          <w:sz w:val="24"/>
          <w:szCs w:val="24"/>
          <w:lang w:val="en-US"/>
        </w:rPr>
        <w:t xml:space="preserve">Wikipedia / Venezuela Negotiations 2026. Negotiations between the Venezuelan government and opposition in 2026. </w:t>
      </w:r>
      <w:hyperlink r:id="rId32" w:history="1">
        <w:r>
          <w:rPr>
            <w:rStyle w:val="Hipervnculo"/>
            <w:rFonts w:ascii="Abadi" w:eastAsia="Calibri" w:hAnsi="Abadi" w:cs="Calibri"/>
            <w:sz w:val="24"/>
            <w:szCs w:val="24"/>
            <w:lang w:val="en-US"/>
          </w:rPr>
          <w:t>https://es.wikipedia.org/wiki/Negociaciones_entre_el_gobierno_y_la_oposici%C3%B3n_venezolana_de_2026</w:t>
        </w:r>
      </w:hyperlink>
    </w:p>
    <w:p w14:paraId="5C7AAB83" w14:textId="77777777" w:rsidR="00D978F8" w:rsidRPr="0018255F" w:rsidRDefault="00D978F8" w:rsidP="0018255F">
      <w:pPr>
        <w:ind w:left="480" w:hanging="480"/>
        <w:rPr>
          <w:rFonts w:ascii="Abadi" w:hAnsi="Abadi"/>
          <w:sz w:val="24"/>
          <w:szCs w:val="24"/>
          <w:lang w:val="en-US"/>
        </w:rPr>
      </w:pPr>
    </w:p>
    <w:p w14:paraId="5C1E37C0" w14:textId="77777777" w:rsidR="00DF147D" w:rsidRPr="00FF37C1" w:rsidRDefault="00DF147D" w:rsidP="00FF37C1">
      <w:pPr>
        <w:jc w:val="both"/>
        <w:rPr>
          <w:rFonts w:ascii="Abadi" w:hAnsi="Abadi"/>
          <w:sz w:val="24"/>
          <w:szCs w:val="24"/>
          <w:lang w:val="en-US"/>
        </w:rPr>
      </w:pPr>
    </w:p>
    <w:p w14:paraId="1000002B" w14:textId="1000002C" w:rsidR="00DF147D" w:rsidRDefault="00000000" w:rsidP="00A7547F">
      <w:pPr>
        <w:ind w:right="-90" w:firstLine="720"/>
        <w:jc w:val="both"/>
        <w:rPr>
          <w:rFonts w:ascii="Abadi" w:eastAsia="Calibri" w:hAnsi="Abadi" w:cs="Calibri"/>
          <w:color w:val="1A1A1A"/>
          <w:sz w:val="24"/>
          <w:szCs w:val="24"/>
          <w:lang w:val="en-US"/>
        </w:rPr>
      </w:pPr>
      <w:r>
        <w:rPr>
          <w:rFonts w:ascii="Abadi" w:eastAsia="Calibri" w:hAnsi="Abadi" w:cs="Calibri"/>
          <w:color w:val="1A1A1A"/>
          <w:sz w:val="24"/>
          <w:szCs w:val="24"/>
          <w:lang w:val="en-US"/>
        </w:rPr>
        <w:t xml:space="preserve">Rubio, M. (October 25, 2026). Statements on the return of María Corina Machado. U.S. Department of State. Washington D.C.</w:t>
      </w:r>
    </w:p>
    <w:p w14:paraId="1000002D" w14:textId="1000002E" w:rsidR="00DF147D" w:rsidRDefault="00000000" w:rsidP="00A7547F">
      <w:pPr>
        <w:ind w:right="-90" w:firstLine="720"/>
        <w:jc w:val="both"/>
        <w:rPr>
          <w:rFonts w:ascii="Abadi" w:eastAsia="Calibri" w:hAnsi="Abadi" w:cs="Calibri"/>
          <w:color w:val="1A1A1A"/>
          <w:sz w:val="24"/>
          <w:szCs w:val="24"/>
          <w:lang w:val="en-US"/>
        </w:rPr>
      </w:pPr>
      <w:r>
        <w:rPr>
          <w:rFonts w:ascii="Abadi" w:eastAsia="Calibri" w:hAnsi="Abadi" w:cs="Calibri"/>
          <w:color w:val="1A1A1A"/>
          <w:sz w:val="24"/>
          <w:szCs w:val="24"/>
          <w:lang w:val="en-US"/>
        </w:rPr>
        <w:t xml:space="preserve">Trump, D. (October 25, 2026). Media statements on MCM. White House. Washington D.C.</w:t>
      </w:r>
    </w:p>
    <w:p w14:paraId="1000002F" w14:textId="10000030" w:rsidR="00DF147D" w:rsidRDefault="00000000" w:rsidP="00A7547F">
      <w:pPr>
        <w:ind w:right="-90" w:firstLine="720"/>
        <w:jc w:val="both"/>
        <w:rPr>
          <w:rFonts w:ascii="Abadi" w:eastAsia="Calibri" w:hAnsi="Abadi" w:cs="Calibri"/>
          <w:color w:val="1A1A1A"/>
          <w:sz w:val="24"/>
          <w:szCs w:val="24"/>
          <w:lang w:val="en-US"/>
        </w:rPr>
      </w:pPr>
      <w:r>
        <w:rPr>
          <w:rFonts w:ascii="Abadi" w:eastAsia="Calibri" w:hAnsi="Abadi" w:cs="Calibri"/>
          <w:color w:val="1A1A1A"/>
          <w:sz w:val="24"/>
          <w:szCs w:val="24"/>
          <w:lang w:val="en-US"/>
        </w:rPr>
        <w:t xml:space="preserve">Machado, M.C. (October 25, 2026). @MariaCorinaYA: "I am here. With you." [Post on X]. https://x.com/MariaCorinaYA</w:t>
      </w:r>
    </w:p>
    <w:p w14:paraId="10000031" w14:textId="10000032" w:rsidR="00DF147D" w:rsidRDefault="00000000" w:rsidP="00A7547F">
      <w:pPr>
        <w:ind w:right="-90" w:firstLine="720"/>
        <w:jc w:val="both"/>
        <w:rPr>
          <w:rFonts w:ascii="Abadi" w:eastAsia="Calibri" w:hAnsi="Abadi" w:cs="Calibri"/>
          <w:color w:val="1A1A1A"/>
          <w:sz w:val="24"/>
          <w:szCs w:val="24"/>
          <w:lang w:val="en-US"/>
        </w:rPr>
      </w:pPr>
      <w:r>
        <w:rPr>
          <w:rFonts w:ascii="Abadi" w:eastAsia="Calibri" w:hAnsi="Abadi" w:cs="Calibri"/>
          <w:color w:val="1A1A1A"/>
          <w:sz w:val="24"/>
          <w:szCs w:val="24"/>
          <w:lang w:val="en-US"/>
        </w:rPr>
        <w:t xml:space="preserve">U.S. Department of the Treasury (October 14, 2026). Treasury Actions on Venezuela: Removal of Jorge Rodríguez from OFAC Sanctions List. OFAC. Washington D.C.</w:t>
      </w:r>
    </w:p>
    <w:p w14:paraId="10000033" w14:textId="10000034" w:rsidR="00DF147D" w:rsidRDefault="00000000" w:rsidP="00A7547F">
      <w:pPr>
        <w:ind w:right="-90" w:firstLine="720"/>
        <w:jc w:val="both"/>
        <w:rPr>
          <w:rFonts w:ascii="Abadi" w:eastAsia="Calibri" w:hAnsi="Abadi" w:cs="Calibri"/>
          <w:color w:val="1A1A1A"/>
          <w:sz w:val="24"/>
          <w:szCs w:val="24"/>
          <w:lang w:val="en-US"/>
        </w:rPr>
      </w:pPr>
      <w:r>
        <w:rPr>
          <w:rFonts w:ascii="Abadi" w:eastAsia="Calibri" w:hAnsi="Abadi" w:cs="Calibri"/>
          <w:color w:val="1A1A1A"/>
          <w:sz w:val="24"/>
          <w:szCs w:val="24"/>
          <w:lang w:val="en-US"/>
        </w:rPr>
        <w:t xml:space="preserve">U.S. Department of State (October 23, 2026). Statement on Venezuela Negotiations: Concrete Results. Washington D.C.</w:t>
      </w:r>
    </w:p>
    <w:p w14:paraId="10000035" w14:textId="10000036" w:rsidR="00DF147D" w:rsidRDefault="00000000" w:rsidP="00A7547F">
      <w:pPr>
        <w:ind w:right="-90" w:firstLine="720"/>
        <w:jc w:val="both"/>
        <w:rPr>
          <w:rFonts w:ascii="Abadi" w:eastAsia="Calibri" w:hAnsi="Abadi" w:cs="Calibri"/>
          <w:color w:val="1A1A1A"/>
          <w:sz w:val="24"/>
          <w:szCs w:val="24"/>
          <w:lang w:val="en-US"/>
        </w:rPr>
      </w:pPr>
      <w:r>
        <w:rPr>
          <w:rFonts w:ascii="Abadi" w:eastAsia="Calibri" w:hAnsi="Abadi" w:cs="Calibri"/>
          <w:color w:val="1A1A1A"/>
          <w:sz w:val="24"/>
          <w:szCs w:val="24"/>
          <w:lang w:val="en-US"/>
        </w:rPr>
        <w:t xml:space="preserve">ECLAC (October 2026). Economic and Social Panorama of Latin America 2026: Venezuela projects GDP growth of 6.5%. https://www.cepal.org</w:t>
      </w:r>
    </w:p>
    <w:p w14:paraId="10000037" w14:textId="10000038" w:rsidR="00DF147D" w:rsidRDefault="00000000" w:rsidP="00A7547F">
      <w:pPr>
        <w:ind w:right="-90" w:firstLine="720"/>
        <w:jc w:val="both"/>
        <w:rPr>
          <w:rFonts w:ascii="Abadi" w:eastAsia="Calibri" w:hAnsi="Abadi" w:cs="Calibri"/>
          <w:color w:val="1A1A1A"/>
          <w:sz w:val="24"/>
          <w:szCs w:val="24"/>
          <w:lang w:val="en-US"/>
        </w:rPr>
      </w:pPr>
      <w:r>
        <w:rPr>
          <w:rFonts w:ascii="Abadi" w:eastAsia="Calibri" w:hAnsi="Abadi" w:cs="Calibri"/>
          <w:color w:val="1A1A1A"/>
          <w:sz w:val="24"/>
          <w:szCs w:val="24"/>
          <w:lang w:val="en-US"/>
        </w:rPr>
        <w:t xml:space="preserve">PDVSA (October 2026). Q3-2026 Operational Report: production exceeds 1.2M bpd. Petróleos de Venezuela S.A. Caracas.</w:t>
      </w:r>
    </w:p>
    <w:p w14:paraId="10000039" w14:textId="1000003A" w:rsidR="00DF147D" w:rsidRDefault="00000000" w:rsidP="00A7547F">
      <w:pPr>
        <w:ind w:right="-90" w:firstLine="720"/>
        <w:jc w:val="both"/>
        <w:rPr>
          <w:rFonts w:ascii="Abadi" w:eastAsia="Calibri" w:hAnsi="Abadi" w:cs="Calibri"/>
          <w:color w:val="1A1A1A"/>
          <w:sz w:val="24"/>
          <w:szCs w:val="24"/>
          <w:lang w:val="en-US"/>
        </w:rPr>
      </w:pPr>
      <w:r>
        <w:rPr>
          <w:rFonts w:ascii="Abadi" w:eastAsia="Calibri" w:hAnsi="Abadi" w:cs="Calibri"/>
          <w:color w:val="1A1A1A"/>
          <w:sz w:val="24"/>
          <w:szCs w:val="24"/>
          <w:lang w:val="en-US"/>
        </w:rPr>
        <w:t xml:space="preserve">Reuters Energy Desk (octubre 2026). Venezuela oil output holds above 1.2M bpd in Q3 2026; 61 bilateral agreements signed. https://www.reuters.com</w:t>
      </w:r>
    </w:p>
    <w:sectPr w:rsidR="00DF147D" w:rsidRPr="00FF37C1">
      <w:headerReference w:type="default" r:id="rId33"/>
      <w:footerReference w:type="default" r:id="rId34"/>
      <w:pgSz w:w="12240" w:h="15840"/>
      <w:pgMar w:top="1080" w:right="1080" w:bottom="12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2696B" w14:textId="77777777" w:rsidR="00016444" w:rsidRDefault="00016444">
      <w:r>
        <w:separator/>
      </w:r>
    </w:p>
  </w:endnote>
  <w:endnote w:type="continuationSeparator" w:id="0">
    <w:p w14:paraId="6F2C089C" w14:textId="77777777" w:rsidR="00016444" w:rsidRDefault="00016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badi">
    <w:charset w:val="00"/>
    <w:family w:val="swiss"/>
    <w:pitch w:val="variable"/>
    <w:sig w:usb0="80000003"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75CE2" w14:textId="05A43487" w:rsidR="00285886" w:rsidRPr="00285886" w:rsidRDefault="00A36492">
    <w:pPr>
      <w:tabs>
        <w:tab w:val="center" w:pos="4550"/>
        <w:tab w:val="left" w:pos="5818"/>
      </w:tabs>
      <w:ind w:right="260"/>
      <w:jc w:val="right"/>
      <w:rPr>
        <w:rFonts w:ascii="Abadi" w:hAnsi="Abadi"/>
        <w:color w:val="222A35" w:themeColor="text2" w:themeShade="80"/>
        <w:sz w:val="24"/>
        <w:szCs w:val="24"/>
      </w:rPr>
    </w:pPr>
    <w:r>
      <w:rPr>
        <w:rFonts w:ascii="Abadi" w:hAnsi="Abadi"/>
        <w:color w:val="8496B0" w:themeColor="text2" w:themeTint="99"/>
        <w:spacing w:val="60"/>
        <w:sz w:val="24"/>
        <w:szCs w:val="24"/>
      </w:rPr>
      <w:t xml:space="preserve">OpenForumOilGasMines.com </w:t>
    </w:r>
    <w:r w:rsidR="00285886" w:rsidRPr="00285886">
      <w:rPr>
        <w:rFonts w:ascii="Abadi" w:hAnsi="Abadi"/>
        <w:color w:val="8496B0" w:themeColor="text2" w:themeTint="99"/>
        <w:spacing w:val="60"/>
        <w:sz w:val="24"/>
        <w:szCs w:val="24"/>
      </w:rPr>
      <w:t>Page</w:t>
    </w:r>
    <w:r w:rsidR="00285886" w:rsidRPr="00285886">
      <w:rPr>
        <w:rFonts w:ascii="Abadi" w:hAnsi="Abadi"/>
        <w:color w:val="8496B0" w:themeColor="text2" w:themeTint="99"/>
        <w:sz w:val="24"/>
        <w:szCs w:val="24"/>
      </w:rPr>
      <w:t xml:space="preserve"> </w:t>
    </w:r>
    <w:r w:rsidR="00285886" w:rsidRPr="00285886">
      <w:rPr>
        <w:rFonts w:ascii="Abadi" w:hAnsi="Abadi"/>
        <w:color w:val="323E4F" w:themeColor="text2" w:themeShade="BF"/>
        <w:sz w:val="24"/>
        <w:szCs w:val="24"/>
      </w:rPr>
      <w:fldChar w:fldCharType="begin"/>
    </w:r>
    <w:r w:rsidR="00285886" w:rsidRPr="00285886">
      <w:rPr>
        <w:rFonts w:ascii="Abadi" w:hAnsi="Abadi"/>
        <w:color w:val="323E4F" w:themeColor="text2" w:themeShade="BF"/>
        <w:sz w:val="24"/>
        <w:szCs w:val="24"/>
      </w:rPr>
      <w:instrText xml:space="preserve"> PAGE   \* MERGEFORMAT </w:instrText>
    </w:r>
    <w:r w:rsidR="00285886" w:rsidRPr="00285886">
      <w:rPr>
        <w:rFonts w:ascii="Abadi" w:hAnsi="Abadi"/>
        <w:color w:val="323E4F" w:themeColor="text2" w:themeShade="BF"/>
        <w:sz w:val="24"/>
        <w:szCs w:val="24"/>
      </w:rPr>
      <w:fldChar w:fldCharType="separate"/>
    </w:r>
    <w:r w:rsidR="00285886" w:rsidRPr="00285886">
      <w:rPr>
        <w:rFonts w:ascii="Abadi" w:hAnsi="Abadi"/>
        <w:noProof/>
        <w:color w:val="323E4F" w:themeColor="text2" w:themeShade="BF"/>
        <w:sz w:val="24"/>
        <w:szCs w:val="24"/>
      </w:rPr>
      <w:t>1</w:t>
    </w:r>
    <w:r w:rsidR="00285886" w:rsidRPr="00285886">
      <w:rPr>
        <w:rFonts w:ascii="Abadi" w:hAnsi="Abadi"/>
        <w:color w:val="323E4F" w:themeColor="text2" w:themeShade="BF"/>
        <w:sz w:val="24"/>
        <w:szCs w:val="24"/>
      </w:rPr>
      <w:fldChar w:fldCharType="end"/>
    </w:r>
    <w:r w:rsidR="00285886" w:rsidRPr="00285886">
      <w:rPr>
        <w:rFonts w:ascii="Abadi" w:hAnsi="Abadi"/>
        <w:color w:val="323E4F" w:themeColor="text2" w:themeShade="BF"/>
        <w:sz w:val="24"/>
        <w:szCs w:val="24"/>
      </w:rPr>
      <w:t xml:space="preserve"> | </w:t>
    </w:r>
    <w:r w:rsidR="00285886" w:rsidRPr="00285886">
      <w:rPr>
        <w:rFonts w:ascii="Abadi" w:hAnsi="Abadi"/>
        <w:color w:val="323E4F" w:themeColor="text2" w:themeShade="BF"/>
        <w:sz w:val="24"/>
        <w:szCs w:val="24"/>
      </w:rPr>
      <w:fldChar w:fldCharType="begin"/>
    </w:r>
    <w:r w:rsidR="00285886" w:rsidRPr="00285886">
      <w:rPr>
        <w:rFonts w:ascii="Abadi" w:hAnsi="Abadi"/>
        <w:color w:val="323E4F" w:themeColor="text2" w:themeShade="BF"/>
        <w:sz w:val="24"/>
        <w:szCs w:val="24"/>
      </w:rPr>
      <w:instrText xml:space="preserve"> NUMPAGES  \* Arabic  \* MERGEFORMAT </w:instrText>
    </w:r>
    <w:r w:rsidR="00285886" w:rsidRPr="00285886">
      <w:rPr>
        <w:rFonts w:ascii="Abadi" w:hAnsi="Abadi"/>
        <w:color w:val="323E4F" w:themeColor="text2" w:themeShade="BF"/>
        <w:sz w:val="24"/>
        <w:szCs w:val="24"/>
      </w:rPr>
      <w:fldChar w:fldCharType="separate"/>
    </w:r>
    <w:r w:rsidR="00285886" w:rsidRPr="00285886">
      <w:rPr>
        <w:rFonts w:ascii="Abadi" w:hAnsi="Abadi"/>
        <w:noProof/>
        <w:color w:val="323E4F" w:themeColor="text2" w:themeShade="BF"/>
        <w:sz w:val="24"/>
        <w:szCs w:val="24"/>
      </w:rPr>
      <w:t>1</w:t>
    </w:r>
    <w:r w:rsidR="00285886" w:rsidRPr="00285886">
      <w:rPr>
        <w:rFonts w:ascii="Abadi" w:hAnsi="Abadi"/>
        <w:color w:val="323E4F" w:themeColor="text2" w:themeShade="BF"/>
        <w:sz w:val="24"/>
        <w:szCs w:val="24"/>
      </w:rPr>
      <w:fldChar w:fldCharType="end"/>
    </w:r>
  </w:p>
  <w:p w14:paraId="11ED0D4C" w14:textId="5995FAC5" w:rsidR="00DF147D" w:rsidRPr="00285886" w:rsidRDefault="00DF147D" w:rsidP="0028588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17412" w14:textId="77777777" w:rsidR="00016444" w:rsidRDefault="00016444">
      <w:r>
        <w:separator/>
      </w:r>
    </w:p>
  </w:footnote>
  <w:footnote w:type="continuationSeparator" w:id="0">
    <w:p w14:paraId="19443F97" w14:textId="77777777" w:rsidR="00016444" w:rsidRDefault="000164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7A846" w14:textId="77777777" w:rsidR="00DF147D" w:rsidRPr="00FF37C1" w:rsidRDefault="00000000">
    <w:pPr>
      <w:pBdr>
        <w:bottom w:val="single" w:sz="4" w:space="0" w:color="CCCCCC"/>
      </w:pBdr>
      <w:spacing w:after="80"/>
      <w:rPr>
        <w:rFonts w:ascii="Abadi" w:hAnsi="Abadi"/>
        <w:b/>
        <w:bCs/>
        <w:sz w:val="22"/>
        <w:szCs w:val="22"/>
        <w:lang w:val="es-ES"/>
      </w:rPr>
    </w:pPr>
    <w:r w:rsidRPr="00FF37C1">
      <w:rPr>
        <w:rFonts w:ascii="Abadi" w:eastAsia="Calibri" w:hAnsi="Abadi" w:cs="Calibri"/>
        <w:b/>
        <w:bCs/>
        <w:color w:val="4A4A4A"/>
        <w:sz w:val="22"/>
        <w:szCs w:val="22"/>
        <w:lang w:val="es-ES"/>
      </w:rPr>
      <w:t>AIST — Intelligence Briefing  |  Venezuela: Comprehensive Strategic Situation  |  October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E667BF"/>
    <w:multiLevelType w:val="hybridMultilevel"/>
    <w:tmpl w:val="C66CB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EE20E8"/>
    <w:multiLevelType w:val="hybridMultilevel"/>
    <w:tmpl w:val="32AA1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521AAC"/>
    <w:multiLevelType w:val="hybridMultilevel"/>
    <w:tmpl w:val="E5741A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0B29CA"/>
    <w:multiLevelType w:val="hybridMultilevel"/>
    <w:tmpl w:val="E4A4F5BA"/>
    <w:lvl w:ilvl="0" w:tplc="6AACB89A" w:tentative="1">
      <w:start w:val="1"/>
      <w:numFmt w:val="bullet"/>
      <w:lvlText w:val="●"/>
      <w:lvlJc w:val="left"/>
      <w:pPr>
        <w:ind w:left="720" w:hanging="360"/>
      </w:pPr>
    </w:lvl>
    <w:lvl w:ilvl="1" w:tplc="67940CD0" w:tentative="1">
      <w:start w:val="1"/>
      <w:numFmt w:val="bullet"/>
      <w:lvlText w:val="○"/>
      <w:lvlJc w:val="left"/>
      <w:pPr>
        <w:ind w:left="1440" w:hanging="360"/>
      </w:pPr>
    </w:lvl>
    <w:lvl w:ilvl="2" w:tplc="E2F2E8F4" w:tentative="1">
      <w:start w:val="1"/>
      <w:numFmt w:val="bullet"/>
      <w:lvlText w:val="■"/>
      <w:lvlJc w:val="left"/>
      <w:pPr>
        <w:ind w:left="2160" w:hanging="360"/>
      </w:pPr>
    </w:lvl>
    <w:lvl w:ilvl="3" w:tplc="8B969210" w:tentative="1">
      <w:start w:val="1"/>
      <w:numFmt w:val="bullet"/>
      <w:lvlText w:val="●"/>
      <w:lvlJc w:val="left"/>
      <w:pPr>
        <w:ind w:left="2880" w:hanging="360"/>
      </w:pPr>
    </w:lvl>
    <w:lvl w:ilvl="4" w:tplc="F2146896" w:tentative="1">
      <w:start w:val="1"/>
      <w:numFmt w:val="bullet"/>
      <w:lvlText w:val="○"/>
      <w:lvlJc w:val="left"/>
      <w:pPr>
        <w:ind w:left="3600" w:hanging="360"/>
      </w:pPr>
    </w:lvl>
    <w:lvl w:ilvl="5" w:tplc="E11A4A64" w:tentative="1">
      <w:start w:val="1"/>
      <w:numFmt w:val="bullet"/>
      <w:lvlText w:val="■"/>
      <w:lvlJc w:val="left"/>
      <w:pPr>
        <w:ind w:left="4320" w:hanging="360"/>
      </w:pPr>
    </w:lvl>
    <w:lvl w:ilvl="6" w:tplc="6D9C6B74" w:tentative="1">
      <w:start w:val="1"/>
      <w:numFmt w:val="bullet"/>
      <w:lvlText w:val="●"/>
      <w:lvlJc w:val="left"/>
      <w:pPr>
        <w:ind w:left="5040" w:hanging="360"/>
      </w:pPr>
    </w:lvl>
    <w:lvl w:ilvl="7" w:tplc="A030CF88" w:tentative="1">
      <w:start w:val="1"/>
      <w:numFmt w:val="bullet"/>
      <w:lvlText w:val="●"/>
      <w:lvlJc w:val="left"/>
      <w:pPr>
        <w:ind w:left="5760" w:hanging="360"/>
      </w:pPr>
    </w:lvl>
    <w:lvl w:ilvl="8" w:tplc="2E62AA9A" w:tentative="1">
      <w:start w:val="1"/>
      <w:numFmt w:val="bullet"/>
      <w:lvlText w:val="●"/>
      <w:lvlJc w:val="left"/>
      <w:pPr>
        <w:ind w:left="6480" w:hanging="360"/>
      </w:pPr>
    </w:lvl>
  </w:abstractNum>
  <w:abstractNum w:abstractNumId="4" w15:restartNumberingAfterBreak="0">
    <w:nsid w:val="62F34680"/>
    <w:multiLevelType w:val="hybridMultilevel"/>
    <w:tmpl w:val="AC84F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6E3C46"/>
    <w:multiLevelType w:val="hybridMultilevel"/>
    <w:tmpl w:val="09986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FC35B2"/>
    <w:multiLevelType w:val="hybridMultilevel"/>
    <w:tmpl w:val="98DCCCBA"/>
    <w:lvl w:ilvl="0" w:tplc="8892DD9E">
      <w:start w:val="1"/>
      <w:numFmt w:val="decimal"/>
      <w:lvlText w:val="%1."/>
      <w:lvlJc w:val="left"/>
      <w:pPr>
        <w:ind w:left="720" w:hanging="360"/>
      </w:pPr>
      <w:rPr>
        <w:rFonts w:eastAsia="Calibri" w:cs="Calibri" w:hint="default"/>
        <w:b/>
        <w:color w:val="1B2A4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6556992">
    <w:abstractNumId w:val="3"/>
    <w:lvlOverride w:ilvl="0">
      <w:startOverride w:val="1"/>
    </w:lvlOverride>
  </w:num>
  <w:num w:numId="2" w16cid:durableId="975573448">
    <w:abstractNumId w:val="4"/>
  </w:num>
  <w:num w:numId="3" w16cid:durableId="1059283606">
    <w:abstractNumId w:val="5"/>
  </w:num>
  <w:num w:numId="4" w16cid:durableId="357901134">
    <w:abstractNumId w:val="0"/>
  </w:num>
  <w:num w:numId="5" w16cid:durableId="260532982">
    <w:abstractNumId w:val="1"/>
  </w:num>
  <w:num w:numId="6" w16cid:durableId="1374380223">
    <w:abstractNumId w:val="2"/>
  </w:num>
  <w:num w:numId="7" w16cid:durableId="5031289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47D"/>
    <w:rsid w:val="00016444"/>
    <w:rsid w:val="0018255F"/>
    <w:rsid w:val="00285886"/>
    <w:rsid w:val="0083012F"/>
    <w:rsid w:val="00A36492"/>
    <w:rsid w:val="00A7547F"/>
    <w:rsid w:val="00AA2B3C"/>
    <w:rsid w:val="00D978F8"/>
    <w:rsid w:val="00DF147D"/>
    <w:rsid w:val="00FF37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17313"/>
  <w15:docId w15:val="{8E768231-372B-4E62-BE6E-5929404DD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outlineLvl w:val="0"/>
    </w:pPr>
    <w:rPr>
      <w:color w:val="2E74B5"/>
      <w:sz w:val="32"/>
      <w:szCs w:val="32"/>
    </w:rPr>
  </w:style>
  <w:style w:type="paragraph" w:styleId="Ttulo2">
    <w:name w:val="heading 2"/>
    <w:basedOn w:val="Normal"/>
    <w:next w:val="Normal"/>
    <w:uiPriority w:val="9"/>
    <w:semiHidden/>
    <w:unhideWhenUsed/>
    <w:qFormat/>
    <w:pPr>
      <w:outlineLvl w:val="1"/>
    </w:pPr>
    <w:rPr>
      <w:color w:val="2E74B5"/>
      <w:sz w:val="26"/>
      <w:szCs w:val="26"/>
    </w:rPr>
  </w:style>
  <w:style w:type="paragraph" w:styleId="Ttulo3">
    <w:name w:val="heading 3"/>
    <w:basedOn w:val="Normal"/>
    <w:next w:val="Normal"/>
    <w:uiPriority w:val="9"/>
    <w:semiHidden/>
    <w:unhideWhenUsed/>
    <w:qFormat/>
    <w:pPr>
      <w:outlineLvl w:val="2"/>
    </w:pPr>
    <w:rPr>
      <w:color w:val="1F4D78"/>
      <w:sz w:val="24"/>
      <w:szCs w:val="24"/>
    </w:rPr>
  </w:style>
  <w:style w:type="paragraph" w:styleId="Ttulo4">
    <w:name w:val="heading 4"/>
    <w:basedOn w:val="Normal"/>
    <w:next w:val="Normal"/>
    <w:uiPriority w:val="9"/>
    <w:semiHidden/>
    <w:unhideWhenUsed/>
    <w:qFormat/>
    <w:pPr>
      <w:outlineLvl w:val="3"/>
    </w:pPr>
    <w:rPr>
      <w:i/>
      <w:iCs/>
      <w:color w:val="2E74B5"/>
    </w:rPr>
  </w:style>
  <w:style w:type="paragraph" w:styleId="Ttulo5">
    <w:name w:val="heading 5"/>
    <w:basedOn w:val="Normal"/>
    <w:next w:val="Normal"/>
    <w:uiPriority w:val="9"/>
    <w:semiHidden/>
    <w:unhideWhenUsed/>
    <w:qFormat/>
    <w:pPr>
      <w:outlineLvl w:val="4"/>
    </w:pPr>
    <w:rPr>
      <w:color w:val="2E74B5"/>
    </w:rPr>
  </w:style>
  <w:style w:type="paragraph" w:styleId="Ttulo6">
    <w:name w:val="heading 6"/>
    <w:basedOn w:val="Normal"/>
    <w:next w:val="Normal"/>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rPr>
      <w:sz w:val="56"/>
      <w:szCs w:val="56"/>
    </w:rPr>
  </w:style>
  <w:style w:type="paragraph" w:customStyle="1" w:styleId="Fuerte1">
    <w:name w:val="Fuerte1"/>
    <w:basedOn w:val="Normal"/>
    <w:next w:val="Normal"/>
    <w:qFormat/>
    <w:rPr>
      <w:b/>
      <w:bCs/>
    </w:rPr>
  </w:style>
  <w:style w:type="paragraph" w:styleId="Prrafodelista">
    <w:name w:val="List Paragraph"/>
    <w:basedOn w:val="Normal"/>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basedOn w:val="Normal"/>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basedOn w:val="Normal"/>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 w:type="paragraph" w:styleId="Encabezado">
    <w:name w:val="header"/>
    <w:basedOn w:val="Normal"/>
    <w:link w:val="EncabezadoCar"/>
    <w:uiPriority w:val="99"/>
    <w:unhideWhenUsed/>
    <w:rsid w:val="00FF37C1"/>
    <w:pPr>
      <w:tabs>
        <w:tab w:val="center" w:pos="4680"/>
        <w:tab w:val="right" w:pos="9360"/>
      </w:tabs>
    </w:pPr>
  </w:style>
  <w:style w:type="character" w:customStyle="1" w:styleId="EncabezadoCar">
    <w:name w:val="Encabezado Car"/>
    <w:basedOn w:val="Fuentedeprrafopredeter"/>
    <w:link w:val="Encabezado"/>
    <w:uiPriority w:val="99"/>
    <w:rsid w:val="00FF37C1"/>
  </w:style>
  <w:style w:type="paragraph" w:styleId="Piedepgina">
    <w:name w:val="footer"/>
    <w:basedOn w:val="Normal"/>
    <w:link w:val="PiedepginaCar"/>
    <w:uiPriority w:val="99"/>
    <w:unhideWhenUsed/>
    <w:rsid w:val="00FF37C1"/>
    <w:pPr>
      <w:tabs>
        <w:tab w:val="center" w:pos="4680"/>
        <w:tab w:val="right" w:pos="9360"/>
      </w:tabs>
    </w:pPr>
  </w:style>
  <w:style w:type="character" w:customStyle="1" w:styleId="PiedepginaCar">
    <w:name w:val="Pie de página Car"/>
    <w:basedOn w:val="Fuentedeprrafopredeter"/>
    <w:link w:val="Piedepgina"/>
    <w:uiPriority w:val="99"/>
    <w:rsid w:val="00FF37C1"/>
  </w:style>
  <w:style w:type="character" w:styleId="Mencinsinresolver">
    <w:name w:val="Unresolved Mention"/>
    <w:basedOn w:val="Fuentedeprrafopredeter"/>
    <w:uiPriority w:val="99"/>
    <w:semiHidden/>
    <w:unhideWhenUsed/>
    <w:rsid w:val="001825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undp.org/sites/g/files/zskgke326/files/2025-09/reportemacroeconomicos2501_digital_v3.pdf" TargetMode="External"/><Relationship Id="rId18" Type="http://schemas.openxmlformats.org/officeDocument/2006/relationships/hyperlink" Target="https://npr.org/2026/09/02/nx-s1-5952190/chevron-venezuela-oil-deal" TargetMode="External"/><Relationship Id="rId26" Type="http://schemas.openxmlformats.org/officeDocument/2006/relationships/hyperlink" Target="https://eldiario.com/2026/05/09/cortes-electricos-venezuela/" TargetMode="External"/><Relationship Id="rId3" Type="http://schemas.openxmlformats.org/officeDocument/2006/relationships/settings" Target="settings.xml"/><Relationship Id="rId21" Type="http://schemas.openxmlformats.org/officeDocument/2006/relationships/hyperlink" Target="https://www.resumenlatinoamericano.org/2025/07/10/" TargetMode="External"/><Relationship Id="rId34"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https://americaeconomica.com/" TargetMode="External"/><Relationship Id="rId17" Type="http://schemas.openxmlformats.org/officeDocument/2006/relationships/hyperlink" Target="https://www.khaleejtimes.com/business/chevron-expands-venezuela-presence-with-7-billion-plan-to-double-output-in-five-years" TargetMode="External"/><Relationship Id="rId25" Type="http://schemas.openxmlformats.org/officeDocument/2006/relationships/hyperlink" Target="https://www.portafolio.co/internacional/apagones-en-venezuela-se-extienden-zulia-concentra-la-crisis-y-99-de-hogares-reporta-cortes-501908" TargetMode="External"/><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observatorio.gob.ve/venezuela-afianza-recuperacion-petrolera-al-superar-1-millon-de-barriles-diarios-en-enero/" TargetMode="External"/><Relationship Id="rId20" Type="http://schemas.openxmlformats.org/officeDocument/2006/relationships/hyperlink" Target="https://about.bnef.com/insights/commodities/venezuelas-oil-renaissance-faces-several-high-hurdles" TargetMode="External"/><Relationship Id="rId29" Type="http://schemas.openxmlformats.org/officeDocument/2006/relationships/hyperlink" Target="https://www.infobae.com/venezuela/2026/10/2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inanzasdigital.com/pib-venezuela-segundo-trimestre-2025-crecimiento-economico-bcv-maduro/" TargetMode="External"/><Relationship Id="rId24" Type="http://schemas.openxmlformats.org/officeDocument/2006/relationships/hyperlink" Target="https://lapatilla.com/2025/08/08/la-mineria-venezolana-es-un-sector-con-alto-potencial-pero-lastrado-por-la-informalidad/" TargetMode="External"/><Relationship Id="rId32" Type="http://schemas.openxmlformats.org/officeDocument/2006/relationships/hyperlink" Target="https://es.wikipedia.org/wiki/Negociaciones_entre_el_gobierno_y_la_oposici%C3%B3n_venezolana_de_2026" TargetMode="External"/><Relationship Id="rId5" Type="http://schemas.openxmlformats.org/officeDocument/2006/relationships/footnotes" Target="footnotes.xml"/><Relationship Id="rId15" Type="http://schemas.openxmlformats.org/officeDocument/2006/relationships/hyperlink" Target="https://www.infobae.com/america/agencias/2025/01/15/la-produccion-petrolera-de-venezuela-crece-un-176-en-2024/" TargetMode="External"/><Relationship Id="rId23" Type="http://schemas.openxmlformats.org/officeDocument/2006/relationships/hyperlink" Target="https://www.hartenergy.com/exclusives/chart-talk-trinidad-eyes-venezuelan-gas-supply-mariscal-sucre-project-203970/" TargetMode="External"/><Relationship Id="rId28" Type="http://schemas.openxmlformats.org/officeDocument/2006/relationships/hyperlink" Target="https://www.infobae.com/america/agencias/2026/10/18/" TargetMode="External"/><Relationship Id="rId36" Type="http://schemas.openxmlformats.org/officeDocument/2006/relationships/theme" Target="theme/theme1.xml"/><Relationship Id="rId10" Type="http://schemas.openxmlformats.org/officeDocument/2006/relationships/hyperlink" Target="https://www.imf.org/en/Publications/WEO" TargetMode="External"/><Relationship Id="rId19" Type="http://schemas.openxmlformats.org/officeDocument/2006/relationships/hyperlink" Target="https://oilnow.gy/news/chevron-says-it-can-boost-venezuela-production-up-to-50-in-24-months/" TargetMode="External"/><Relationship Id="rId31" Type="http://schemas.openxmlformats.org/officeDocument/2006/relationships/hyperlink" Target="https://www.spglobal.com/commodityinsights/en/market-insights/latest-news/shipping/122123-factbox-seaborne-trade-reroutes-away-from-red-sea-over-houthi-attacks" TargetMode="External"/><Relationship Id="rId4" Type="http://schemas.openxmlformats.org/officeDocument/2006/relationships/webSettings" Target="webSettings.xml"/><Relationship Id="rId9" Type="http://schemas.openxmlformats.org/officeDocument/2006/relationships/hyperlink" Target="https://www.opec.org/opec_web/en/data_graphs/330.htm" TargetMode="External"/><Relationship Id="rId14" Type="http://schemas.openxmlformats.org/officeDocument/2006/relationships/hyperlink" Target="https://efectococuyo.com/politica/proyecciones-economicas-2025-ecoanalitica-situacion-bastante-compleja/" TargetMode="External"/><Relationship Id="rId22" Type="http://schemas.openxmlformats.org/officeDocument/2006/relationships/hyperlink" Target="https://www.gem.wiki/Dragon_Gas_Field_(Venezuela)" TargetMode="External"/><Relationship Id="rId27" Type="http://schemas.openxmlformats.org/officeDocument/2006/relationships/hyperlink" Target="https://cnnespanol.cnn.com/2026/02/03/" TargetMode="External"/><Relationship Id="rId30" Type="http://schemas.openxmlformats.org/officeDocument/2006/relationships/hyperlink" Target="https://oilnow.gy/featured/china-debt-seen-as-major-hurdle-in-venezuelas-bid-to-restructure-us150b-liabilities-sp-global/" TargetMode="External"/><Relationship Id="rId35" Type="http://schemas.openxmlformats.org/officeDocument/2006/relationships/fontTable" Target="fontTable.xml"/><Relationship Id="rId8" Type="http://schemas.openxmlformats.org/officeDocument/2006/relationships/hyperlink" Target="https://www.eia.gov/todayinenergy/detail.php?id=655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14</Pages>
  <Words>5251</Words>
  <Characters>29937</Characters>
  <Application>Microsoft Office Word</Application>
  <DocSecurity>0</DocSecurity>
  <Lines>249</Lines>
  <Paragraphs>70</Paragraphs>
  <ScaleCrop>false</ScaleCrop>
  <HeadingPairs>
    <vt:vector size="2" baseType="variant">
      <vt:variant>
        <vt:lpstr>Título</vt:lpstr>
      </vt:variant>
      <vt:variant>
        <vt:i4>1</vt:i4>
      </vt:variant>
    </vt:vector>
  </HeadingPairs>
  <TitlesOfParts>
    <vt:vector size="1" baseType="lpstr">
      <vt:lpstr>AIST Intelligence Briefing — Venezuela Situación Estratégica Integral Oct 2026</vt:lpstr>
    </vt:vector>
  </TitlesOfParts>
  <Company/>
  <LinksUpToDate>false</LinksUpToDate>
  <CharactersWithSpaces>35118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AIST Intelligence Briefing — Venezuela Situación Estratégica Integral Oct 2026</dc:title>
  <dc:creator>AIST — Msc. Pedro Barrueco Perez</dc:creator>
  <dc:description>Análisis integral de Venezuela: energía, economía, transición política y riesgo de inversión</dc:description>
  <cp:lastModifiedBy>Pedro Barrueco Perez</cp:lastModifiedBy>
  <cp:revision>3</cp:revision>
  <dcterms:created xsi:type="dcterms:W3CDTF">2026-10-25T19:27:00Z</dcterms:created>
  <dcterms:modified xsi:type="dcterms:W3CDTF">2026-10-25T20:10:00Z</dcterms:modified>
</cp:coreProperties>
</file>