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45C0C" w14:textId="77777777" w:rsidR="00FF37C1" w:rsidRDefault="00FF37C1" w:rsidP="00FF37C1">
      <w:pPr>
        <w:jc w:val="both"/>
        <w:rPr>
          <w:rFonts w:ascii="Arial" w:eastAsia="Calibri" w:hAnsi="Arial" w:cs="Arial"/>
          <w:b/>
          <w:bCs/>
          <w:color w:val="CC0000"/>
          <w:sz w:val="24"/>
          <w:szCs w:val="24"/>
          <w:lang w:val="es-ES"/>
        </w:rPr>
      </w:pPr>
    </w:p>
    <w:p w14:paraId="443BFF8B" w14:textId="77777777" w:rsidR="00DF147D" w:rsidRDefault="00000000" w:rsidP="00FF37C1">
      <w:pPr>
        <w:jc w:val="center"/>
        <w:rPr>
          <w:rFonts w:ascii="Arial" w:eastAsia="Calibri" w:hAnsi="Arial" w:cs="Arial"/>
          <w:b/>
          <w:bCs/>
          <w:color w:val="CC0000"/>
          <w:sz w:val="24"/>
          <w:szCs w:val="24"/>
          <w:lang w:val="es-ES"/>
        </w:rPr>
      </w:pPr>
      <w:r>
        <w:rPr>
          <w:rFonts w:ascii="Arial" w:eastAsia="Calibri" w:hAnsi="Arial" w:cs="Arial"/>
          <w:b/>
          <w:bCs/>
          <w:color w:val="CC0000"/>
          <w:sz w:val="24"/>
          <w:szCs w:val="24"/>
          <w:lang w:val="es-ES"/>
        </w:rPr>
        <w:t>■</w:t>
      </w:r>
      <w:r>
        <w:rPr>
          <w:rFonts w:ascii="Abadi" w:eastAsia="Calibri" w:hAnsi="Abadi" w:cs="Calibri"/>
          <w:b/>
          <w:bCs/>
          <w:color w:val="CC0000"/>
          <w:sz w:val="24"/>
          <w:szCs w:val="24"/>
          <w:lang w:val="es-ES"/>
        </w:rPr>
        <w:t xml:space="preserve">  Documento realizado con informaci</w:t>
      </w:r>
      <w:r>
        <w:rPr>
          <w:rFonts w:ascii="Abadi" w:eastAsia="Calibri" w:hAnsi="Abadi" w:cs="Abadi"/>
          <w:b/>
          <w:bCs/>
          <w:color w:val="CC0000"/>
          <w:sz w:val="24"/>
          <w:szCs w:val="24"/>
          <w:lang w:val="es-ES"/>
        </w:rPr>
        <w:t>ó</w:t>
      </w:r>
      <w:r>
        <w:rPr>
          <w:rFonts w:ascii="Abadi" w:eastAsia="Calibri" w:hAnsi="Abadi" w:cs="Calibri"/>
          <w:b/>
          <w:bCs/>
          <w:color w:val="CC0000"/>
          <w:sz w:val="24"/>
          <w:szCs w:val="24"/>
          <w:lang w:val="es-ES"/>
        </w:rPr>
        <w:t xml:space="preserve">n desclasificada  </w:t>
      </w:r>
      <w:r>
        <w:rPr>
          <w:rFonts w:ascii="Arial" w:eastAsia="Calibri" w:hAnsi="Arial" w:cs="Arial"/>
          <w:b/>
          <w:bCs/>
          <w:color w:val="CC0000"/>
          <w:sz w:val="24"/>
          <w:szCs w:val="24"/>
          <w:lang w:val="es-ES"/>
        </w:rPr>
        <w:t>■</w:t>
      </w:r>
    </w:p>
    <w:p w14:paraId="4CC74067" w14:textId="77777777" w:rsidR="00FF37C1" w:rsidRDefault="00FF37C1" w:rsidP="00FF37C1">
      <w:pPr>
        <w:rPr>
          <w:rFonts w:ascii="Arial" w:eastAsia="Calibri" w:hAnsi="Arial" w:cs="Arial"/>
          <w:b/>
          <w:bCs/>
          <w:color w:val="CC0000"/>
          <w:sz w:val="24"/>
          <w:szCs w:val="24"/>
          <w:lang w:val="es-ES"/>
        </w:rPr>
      </w:pPr>
    </w:p>
    <w:p w14:paraId="12FE7F25" w14:textId="77777777" w:rsidR="00FF37C1" w:rsidRDefault="00FF37C1" w:rsidP="00FF37C1">
      <w:pPr>
        <w:jc w:val="center"/>
        <w:rPr>
          <w:rFonts w:ascii="Arial" w:eastAsia="Calibri" w:hAnsi="Arial" w:cs="Arial"/>
          <w:b/>
          <w:bCs/>
          <w:color w:val="CC0000"/>
          <w:sz w:val="24"/>
          <w:szCs w:val="24"/>
          <w:lang w:val="es-ES"/>
        </w:rPr>
      </w:pPr>
      <w:r>
        <w:rPr>
          <w:rFonts w:ascii="Arial" w:eastAsia="Calibri" w:hAnsi="Arial" w:cs="Arial"/>
          <w:b/>
          <w:bCs/>
          <w:noProof/>
          <w:color w:val="CC0000"/>
          <w:sz w:val="24"/>
          <w:szCs w:val="24"/>
          <w:lang w:val="es-ES"/>
        </w:rPr>
        <w:drawing>
          <wp:anchor distT="0" distB="0" distL="114300" distR="114300" simplePos="0" relativeHeight="251658240" behindDoc="1" locked="0" layoutInCell="1" allowOverlap="1" wp14:anchorId="425547A5" wp14:editId="4D1FF359">
            <wp:simplePos x="0" y="0"/>
            <wp:positionH relativeFrom="column">
              <wp:posOffset>2491740</wp:posOffset>
            </wp:positionH>
            <wp:positionV relativeFrom="paragraph">
              <wp:posOffset>7620</wp:posOffset>
            </wp:positionV>
            <wp:extent cx="1335405" cy="1335405"/>
            <wp:effectExtent l="0" t="0" r="0" b="0"/>
            <wp:wrapTight wrapText="bothSides">
              <wp:wrapPolygon edited="0">
                <wp:start x="0" y="0"/>
                <wp:lineTo x="0" y="21261"/>
                <wp:lineTo x="21261" y="21261"/>
                <wp:lineTo x="21261" y="0"/>
                <wp:lineTo x="0" y="0"/>
              </wp:wrapPolygon>
            </wp:wrapTight>
            <wp:docPr id="577657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5405" cy="1335405"/>
                    </a:xfrm>
                    <a:prstGeom prst="rect">
                      <a:avLst/>
                    </a:prstGeom>
                    <a:noFill/>
                  </pic:spPr>
                </pic:pic>
              </a:graphicData>
            </a:graphic>
            <wp14:sizeRelH relativeFrom="page">
              <wp14:pctWidth>0</wp14:pctWidth>
            </wp14:sizeRelH>
            <wp14:sizeRelV relativeFrom="page">
              <wp14:pctHeight>0</wp14:pctHeight>
            </wp14:sizeRelV>
          </wp:anchor>
        </w:drawing>
      </w:r>
    </w:p>
    <w:p w14:paraId="48606C1B" w14:textId="77777777" w:rsidR="00FF37C1" w:rsidRDefault="00FF37C1" w:rsidP="00FF37C1">
      <w:pPr>
        <w:jc w:val="center"/>
        <w:rPr>
          <w:rFonts w:ascii="Arial" w:eastAsia="Calibri" w:hAnsi="Arial" w:cs="Arial"/>
          <w:b/>
          <w:bCs/>
          <w:color w:val="CC0000"/>
          <w:sz w:val="24"/>
          <w:szCs w:val="24"/>
          <w:lang w:val="es-ES"/>
        </w:rPr>
      </w:pPr>
    </w:p>
    <w:p w14:paraId="36203475" w14:textId="77777777" w:rsidR="00FF37C1" w:rsidRDefault="00FF37C1" w:rsidP="00FF37C1">
      <w:pPr>
        <w:jc w:val="center"/>
        <w:rPr>
          <w:rFonts w:ascii="Arial" w:eastAsia="Calibri" w:hAnsi="Arial" w:cs="Arial"/>
          <w:b/>
          <w:bCs/>
          <w:color w:val="CC0000"/>
          <w:sz w:val="24"/>
          <w:szCs w:val="24"/>
          <w:lang w:val="es-ES"/>
        </w:rPr>
      </w:pPr>
    </w:p>
    <w:p w14:paraId="0C892E85" w14:textId="77777777" w:rsidR="00FF37C1" w:rsidRDefault="00FF37C1" w:rsidP="00FF37C1">
      <w:pPr>
        <w:jc w:val="center"/>
        <w:rPr>
          <w:rFonts w:ascii="Arial" w:eastAsia="Calibri" w:hAnsi="Arial" w:cs="Arial"/>
          <w:b/>
          <w:bCs/>
          <w:color w:val="CC0000"/>
          <w:sz w:val="24"/>
          <w:szCs w:val="24"/>
          <w:lang w:val="es-ES"/>
        </w:rPr>
      </w:pPr>
    </w:p>
    <w:p w14:paraId="05CA58C5" w14:textId="77777777" w:rsidR="00FF37C1" w:rsidRDefault="00FF37C1" w:rsidP="00FF37C1">
      <w:pPr>
        <w:jc w:val="center"/>
        <w:rPr>
          <w:rFonts w:ascii="Arial" w:eastAsia="Calibri" w:hAnsi="Arial" w:cs="Arial"/>
          <w:b/>
          <w:bCs/>
          <w:color w:val="CC0000"/>
          <w:sz w:val="24"/>
          <w:szCs w:val="24"/>
          <w:lang w:val="es-ES"/>
        </w:rPr>
      </w:pPr>
    </w:p>
    <w:p w14:paraId="3EBC36BD" w14:textId="77777777" w:rsidR="00FF37C1" w:rsidRDefault="00FF37C1" w:rsidP="00FF37C1">
      <w:pPr>
        <w:jc w:val="center"/>
        <w:rPr>
          <w:rFonts w:ascii="Arial" w:eastAsia="Calibri" w:hAnsi="Arial" w:cs="Arial"/>
          <w:b/>
          <w:bCs/>
          <w:color w:val="CC0000"/>
          <w:sz w:val="24"/>
          <w:szCs w:val="24"/>
          <w:lang w:val="es-ES"/>
        </w:rPr>
      </w:pPr>
    </w:p>
    <w:p w14:paraId="558CBAD7" w14:textId="77777777" w:rsidR="00FF37C1" w:rsidRDefault="00FF37C1" w:rsidP="00FF37C1">
      <w:pPr>
        <w:jc w:val="center"/>
        <w:rPr>
          <w:rFonts w:ascii="Arial" w:eastAsia="Calibri" w:hAnsi="Arial" w:cs="Arial"/>
          <w:b/>
          <w:bCs/>
          <w:color w:val="CC0000"/>
          <w:sz w:val="24"/>
          <w:szCs w:val="24"/>
          <w:lang w:val="es-ES"/>
        </w:rPr>
      </w:pPr>
    </w:p>
    <w:p w14:paraId="12E89D34" w14:textId="77777777" w:rsidR="00FF37C1" w:rsidRDefault="00FF37C1" w:rsidP="00FF37C1">
      <w:pPr>
        <w:rPr>
          <w:rFonts w:ascii="Arial" w:eastAsia="Calibri" w:hAnsi="Arial" w:cs="Arial"/>
          <w:b/>
          <w:bCs/>
          <w:color w:val="CC0000"/>
          <w:sz w:val="24"/>
          <w:szCs w:val="24"/>
          <w:lang w:val="es-ES"/>
        </w:rPr>
      </w:pPr>
    </w:p>
    <w:p w14:paraId="00E3983B" w14:textId="77777777" w:rsidR="00FF37C1" w:rsidRDefault="00FF37C1" w:rsidP="00FF37C1">
      <w:pPr>
        <w:jc w:val="center"/>
        <w:rPr>
          <w:rFonts w:ascii="Arial" w:eastAsia="Calibri" w:hAnsi="Arial" w:cs="Arial"/>
          <w:b/>
          <w:bCs/>
          <w:color w:val="CC0000"/>
          <w:sz w:val="24"/>
          <w:szCs w:val="24"/>
          <w:lang w:val="es-ES"/>
        </w:rPr>
      </w:pPr>
    </w:p>
    <w:p w14:paraId="3653B5B9" w14:textId="77777777" w:rsidR="00FF37C1" w:rsidRPr="009A334C" w:rsidRDefault="00FF37C1" w:rsidP="00FF37C1">
      <w:pPr>
        <w:spacing w:after="80"/>
        <w:jc w:val="center"/>
        <w:rPr>
          <w:rFonts w:ascii="Abadi" w:hAnsi="Abadi"/>
          <w:sz w:val="24"/>
          <w:szCs w:val="24"/>
        </w:rPr>
      </w:pPr>
      <w:r>
        <w:rPr>
          <w:rFonts w:ascii="Abadi" w:hAnsi="Abadi"/>
          <w:b/>
          <w:bCs/>
          <w:smallCaps/>
          <w:color w:val="0B1F3A"/>
          <w:sz w:val="24"/>
          <w:szCs w:val="24"/>
        </w:rPr>
        <w:t>ADVISORS AND IMPLEMENTERS OF</w:t>
      </w:r>
    </w:p>
    <w:p w14:paraId="446F4D14" w14:textId="77777777" w:rsidR="00FF37C1" w:rsidRPr="009A334C" w:rsidRDefault="00FF37C1" w:rsidP="00FF37C1">
      <w:pPr>
        <w:spacing w:after="320"/>
        <w:jc w:val="center"/>
        <w:rPr>
          <w:rFonts w:ascii="Abadi" w:hAnsi="Abadi"/>
          <w:sz w:val="24"/>
          <w:szCs w:val="24"/>
        </w:rPr>
      </w:pPr>
      <w:r>
        <w:rPr>
          <w:rFonts w:ascii="Abadi" w:hAnsi="Abadi"/>
          <w:b/>
          <w:bCs/>
          <w:smallCaps/>
          <w:color w:val="B8962E"/>
          <w:sz w:val="24"/>
          <w:szCs w:val="24"/>
        </w:rPr>
        <w:t>SOLUTIONS AGAINST RISKS AND THREATS</w:t>
      </w:r>
    </w:p>
    <w:p w14:paraId="7CECD985" w14:textId="77777777" w:rsidR="00DF147D" w:rsidRPr="00FF37C1" w:rsidRDefault="00DF147D" w:rsidP="00FF37C1">
      <w:pPr>
        <w:jc w:val="both"/>
        <w:rPr>
          <w:rFonts w:ascii="Abadi" w:hAnsi="Abadi"/>
          <w:sz w:val="24"/>
          <w:szCs w:val="24"/>
        </w:rPr>
      </w:pPr>
    </w:p>
    <w:p w14:paraId="2561BAAE" w14:textId="77777777" w:rsidR="00DF147D" w:rsidRPr="00AA2B3C" w:rsidRDefault="00000000" w:rsidP="00AA2B3C">
      <w:pPr>
        <w:jc w:val="center"/>
        <w:rPr>
          <w:rFonts w:ascii="Abadi" w:eastAsia="Calibri" w:hAnsi="Abadi" w:cs="Calibri"/>
          <w:b/>
          <w:bCs/>
          <w:caps/>
          <w:color w:val="1A1A1A"/>
          <w:sz w:val="48"/>
          <w:szCs w:val="48"/>
          <w:lang w:val="es-ES"/>
        </w:rPr>
      </w:pPr>
      <w:r>
        <w:rPr>
          <w:rFonts w:ascii="Abadi" w:eastAsia="Calibri" w:hAnsi="Abadi" w:cs="Calibri"/>
          <w:b/>
          <w:bCs/>
          <w:caps/>
          <w:color w:val="1A1A1A"/>
          <w:sz w:val="48"/>
          <w:szCs w:val="48"/>
          <w:lang w:val="es-ES"/>
        </w:rPr>
        <w:t>INTELLIGENCE BRIEFING</w:t>
      </w:r>
    </w:p>
    <w:p w14:paraId="31436653" w14:textId="77777777" w:rsidR="00AA2B3C" w:rsidRDefault="00AA2B3C" w:rsidP="00AA2B3C">
      <w:pPr>
        <w:rPr>
          <w:rFonts w:ascii="Abadi" w:eastAsia="Calibri" w:hAnsi="Abadi" w:cs="Calibri"/>
          <w:b/>
          <w:bCs/>
          <w:caps/>
          <w:sz w:val="24"/>
          <w:szCs w:val="24"/>
          <w:lang w:val="es-ES"/>
        </w:rPr>
      </w:pPr>
    </w:p>
    <w:p w14:paraId="01B95213" w14:textId="77777777" w:rsidR="00AA2B3C" w:rsidRDefault="00AA2B3C" w:rsidP="00FF37C1">
      <w:pPr>
        <w:jc w:val="center"/>
        <w:rPr>
          <w:rFonts w:ascii="Abadi" w:eastAsia="Calibri" w:hAnsi="Abadi" w:cs="Calibri"/>
          <w:b/>
          <w:bCs/>
          <w:caps/>
          <w:sz w:val="24"/>
          <w:szCs w:val="24"/>
          <w:lang w:val="es-ES"/>
        </w:rPr>
      </w:pPr>
    </w:p>
    <w:p w14:paraId="3D8E672A" w14:textId="77777777" w:rsidR="00AA2B3C" w:rsidRDefault="00000000" w:rsidP="00FF37C1">
      <w:pPr>
        <w:jc w:val="center"/>
        <w:rPr>
          <w:rFonts w:ascii="Abadi" w:eastAsia="Calibri" w:hAnsi="Abadi" w:cs="Calibri"/>
          <w:b/>
          <w:bCs/>
          <w:caps/>
          <w:color w:val="EE0000"/>
          <w:sz w:val="36"/>
          <w:szCs w:val="36"/>
          <w:lang w:val="es-ES"/>
        </w:rPr>
      </w:pPr>
      <w:r>
        <w:rPr>
          <w:rFonts w:ascii="Abadi" w:eastAsia="Calibri" w:hAnsi="Abadi" w:cs="Calibri"/>
          <w:b/>
          <w:bCs/>
          <w:caps/>
          <w:color w:val="EE0000"/>
          <w:sz w:val="36"/>
          <w:szCs w:val="36"/>
          <w:lang w:val="es-ES"/>
        </w:rPr>
        <w:t xml:space="preserve">VENEZUELA: SITUACIÓN ESTRATÉGICA INTEGRAL ENERGÍA, ECONOMÍA, TRANSICIÓN  </w:t>
      </w:r>
    </w:p>
    <w:p w14:paraId="1B187BF2" w14:textId="77777777" w:rsidR="00DF147D" w:rsidRPr="00AA2B3C" w:rsidRDefault="00000000" w:rsidP="00FF37C1">
      <w:pPr>
        <w:jc w:val="center"/>
        <w:rPr>
          <w:rFonts w:ascii="Abadi" w:hAnsi="Abadi"/>
          <w:color w:val="EE0000"/>
          <w:sz w:val="36"/>
          <w:szCs w:val="36"/>
          <w:lang w:val="es-ES"/>
        </w:rPr>
      </w:pPr>
      <w:r>
        <w:rPr>
          <w:rFonts w:ascii="Abadi" w:eastAsia="Calibri" w:hAnsi="Abadi" w:cs="Calibri"/>
          <w:b/>
          <w:bCs/>
          <w:caps/>
          <w:color w:val="EE0000"/>
          <w:sz w:val="36"/>
          <w:szCs w:val="36"/>
          <w:lang w:val="es-ES"/>
        </w:rPr>
        <w:t>POLÍTICA Y RIESGO DE INVERSIÓN</w:t>
      </w:r>
    </w:p>
    <w:p w14:paraId="1557BA8C" w14:textId="77777777" w:rsidR="00FF37C1" w:rsidRDefault="00FF37C1" w:rsidP="00FF37C1">
      <w:pPr>
        <w:jc w:val="center"/>
        <w:rPr>
          <w:rFonts w:ascii="Abadi" w:hAnsi="Abadi"/>
          <w:sz w:val="24"/>
          <w:szCs w:val="24"/>
          <w:lang w:val="es-ES"/>
        </w:rPr>
      </w:pPr>
    </w:p>
    <w:p w14:paraId="619C5936" w14:textId="77777777" w:rsidR="00AA2B3C" w:rsidRDefault="00AA2B3C" w:rsidP="00FF37C1">
      <w:pPr>
        <w:jc w:val="center"/>
        <w:rPr>
          <w:rFonts w:ascii="Abadi" w:hAnsi="Abadi"/>
          <w:sz w:val="24"/>
          <w:szCs w:val="24"/>
          <w:lang w:val="es-ES"/>
        </w:rPr>
      </w:pPr>
    </w:p>
    <w:p w14:paraId="461749FA" w14:textId="77777777" w:rsidR="00AA2B3C" w:rsidRPr="00FF37C1" w:rsidRDefault="00AA2B3C" w:rsidP="00FF37C1">
      <w:pPr>
        <w:jc w:val="center"/>
        <w:rPr>
          <w:rFonts w:ascii="Abadi" w:hAnsi="Abadi"/>
          <w:sz w:val="24"/>
          <w:szCs w:val="24"/>
          <w:lang w:val="es-ES"/>
        </w:rPr>
      </w:pPr>
    </w:p>
    <w:tbl>
      <w:tblPr>
        <w:tblW w:w="1017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99"/>
        <w:gridCol w:w="7771"/>
      </w:tblGrid>
      <w:tr w:rsidR="00DF147D" w:rsidRPr="00FF37C1" w14:paraId="0D1EBD6B" w14:textId="77777777" w:rsidTr="00FF37C1">
        <w:tc>
          <w:tcPr>
            <w:tcW w:w="2399"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067DE21A" w14:textId="77777777" w:rsidR="00DF147D" w:rsidRPr="00FF37C1" w:rsidRDefault="00000000" w:rsidP="00FF37C1">
            <w:pPr>
              <w:jc w:val="both"/>
              <w:rPr>
                <w:rFonts w:ascii="Abadi" w:hAnsi="Abadi"/>
                <w:sz w:val="22"/>
                <w:szCs w:val="22"/>
                <w:lang w:val="es-ES"/>
              </w:rPr>
            </w:pPr>
            <w:r>
              <w:rPr>
                <w:rFonts w:ascii="Abadi" w:eastAsia="Calibri" w:hAnsi="Abadi" w:cs="Calibri"/>
                <w:b/>
                <w:bCs/>
                <w:color w:val="1A1A1A"/>
                <w:sz w:val="22"/>
                <w:szCs w:val="22"/>
                <w:lang w:val="es-ES"/>
              </w:rPr>
              <w:t>Fecha de Emisión</w:t>
            </w:r>
          </w:p>
        </w:tc>
        <w:tc>
          <w:tcPr>
            <w:tcW w:w="7771"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2657B09A" w14:textId="77777777" w:rsidR="00DF147D" w:rsidRPr="00FF37C1" w:rsidRDefault="00000000" w:rsidP="00FF37C1">
            <w:pPr>
              <w:jc w:val="both"/>
              <w:rPr>
                <w:rFonts w:ascii="Abadi" w:hAnsi="Abadi"/>
                <w:sz w:val="22"/>
                <w:szCs w:val="22"/>
                <w:lang w:val="es-ES"/>
              </w:rPr>
            </w:pPr>
            <w:r>
              <w:rPr>
                <w:rFonts w:ascii="Abadi" w:eastAsia="Calibri" w:hAnsi="Abadi" w:cs="Calibri"/>
                <w:color w:val="1A1A1A"/>
                <w:sz w:val="22"/>
                <w:szCs w:val="22"/>
                <w:lang w:val="es-ES"/>
              </w:rPr>
              <w:t>Octubre 2026</w:t>
            </w:r>
          </w:p>
        </w:tc>
      </w:tr>
      <w:tr w:rsidR="00DF147D" w:rsidRPr="00FF37C1" w14:paraId="5CF04101" w14:textId="77777777" w:rsidTr="00FF37C1">
        <w:tc>
          <w:tcPr>
            <w:tcW w:w="2399"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6F55718F" w14:textId="77777777" w:rsidR="00DF147D" w:rsidRPr="00FF37C1" w:rsidRDefault="00000000" w:rsidP="00FF37C1">
            <w:pPr>
              <w:jc w:val="both"/>
              <w:rPr>
                <w:rFonts w:ascii="Abadi" w:hAnsi="Abadi"/>
                <w:sz w:val="22"/>
                <w:szCs w:val="22"/>
                <w:lang w:val="es-ES"/>
              </w:rPr>
            </w:pPr>
            <w:r>
              <w:rPr>
                <w:rFonts w:ascii="Abadi" w:eastAsia="Calibri" w:hAnsi="Abadi" w:cs="Calibri"/>
                <w:b/>
                <w:bCs/>
                <w:color w:val="1A1A1A"/>
                <w:sz w:val="22"/>
                <w:szCs w:val="22"/>
                <w:lang w:val="es-ES"/>
              </w:rPr>
              <w:t>Período de Análisis</w:t>
            </w:r>
          </w:p>
        </w:tc>
        <w:tc>
          <w:tcPr>
            <w:tcW w:w="7771"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3BF263ED" w14:textId="77777777" w:rsidR="00DF147D" w:rsidRPr="00FF37C1" w:rsidRDefault="00000000" w:rsidP="00FF37C1">
            <w:pPr>
              <w:jc w:val="both"/>
              <w:rPr>
                <w:rFonts w:ascii="Abadi" w:hAnsi="Abadi"/>
                <w:sz w:val="22"/>
                <w:szCs w:val="22"/>
                <w:lang w:val="es-ES"/>
              </w:rPr>
            </w:pPr>
            <w:r>
              <w:rPr>
                <w:rFonts w:ascii="Abadi" w:eastAsia="Calibri" w:hAnsi="Abadi" w:cs="Calibri"/>
                <w:color w:val="1A1A1A"/>
                <w:sz w:val="22"/>
                <w:szCs w:val="22"/>
                <w:lang w:val="es-ES"/>
              </w:rPr>
              <w:t>2024 – 2026</w:t>
            </w:r>
          </w:p>
        </w:tc>
      </w:tr>
      <w:tr w:rsidR="00DF147D" w:rsidRPr="00CB4A49" w14:paraId="3DBF0E5A" w14:textId="77777777" w:rsidTr="00FF37C1">
        <w:tc>
          <w:tcPr>
            <w:tcW w:w="2399"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07FAAF44" w14:textId="77777777" w:rsidR="00DF147D" w:rsidRPr="00FF37C1" w:rsidRDefault="00000000" w:rsidP="00FF37C1">
            <w:pPr>
              <w:jc w:val="both"/>
              <w:rPr>
                <w:rFonts w:ascii="Abadi" w:hAnsi="Abadi"/>
                <w:sz w:val="22"/>
                <w:szCs w:val="22"/>
                <w:lang w:val="es-ES"/>
              </w:rPr>
            </w:pPr>
            <w:r>
              <w:rPr>
                <w:rFonts w:ascii="Abadi" w:eastAsia="Calibri" w:hAnsi="Abadi" w:cs="Calibri"/>
                <w:b/>
                <w:bCs/>
                <w:color w:val="1A1A1A"/>
                <w:sz w:val="22"/>
                <w:szCs w:val="22"/>
                <w:lang w:val="es-ES"/>
              </w:rPr>
              <w:t>Clasificación</w:t>
            </w:r>
          </w:p>
        </w:tc>
        <w:tc>
          <w:tcPr>
            <w:tcW w:w="7771"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37226665" w14:textId="77777777" w:rsidR="00DF147D" w:rsidRPr="00FF37C1" w:rsidRDefault="00000000" w:rsidP="00FF37C1">
            <w:pPr>
              <w:jc w:val="both"/>
              <w:rPr>
                <w:rFonts w:ascii="Abadi" w:hAnsi="Abadi"/>
                <w:sz w:val="22"/>
                <w:szCs w:val="22"/>
                <w:lang w:val="es-ES"/>
              </w:rPr>
            </w:pPr>
            <w:r>
              <w:rPr>
                <w:rFonts w:ascii="Abadi" w:eastAsia="Calibri" w:hAnsi="Abadi" w:cs="Calibri"/>
                <w:color w:val="1A1A1A"/>
                <w:sz w:val="22"/>
                <w:szCs w:val="22"/>
                <w:lang w:val="es-ES"/>
              </w:rPr>
              <w:t>NO – CONFIDENCIAL [información tomada de fuentes abiertas verificables, organismos internacionales y análisis especializados].</w:t>
            </w:r>
          </w:p>
        </w:tc>
      </w:tr>
      <w:tr w:rsidR="00DF147D" w:rsidRPr="00FF37C1" w14:paraId="016EAA9A" w14:textId="77777777" w:rsidTr="00FF37C1">
        <w:tc>
          <w:tcPr>
            <w:tcW w:w="2399"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65966E7B" w14:textId="77777777" w:rsidR="00DF147D" w:rsidRPr="00FF37C1" w:rsidRDefault="00000000" w:rsidP="00FF37C1">
            <w:pPr>
              <w:jc w:val="both"/>
              <w:rPr>
                <w:rFonts w:ascii="Abadi" w:hAnsi="Abadi"/>
                <w:sz w:val="22"/>
                <w:szCs w:val="22"/>
                <w:lang w:val="es-ES"/>
              </w:rPr>
            </w:pPr>
            <w:r>
              <w:rPr>
                <w:rFonts w:ascii="Abadi" w:eastAsia="Calibri" w:hAnsi="Abadi" w:cs="Calibri"/>
                <w:b/>
                <w:bCs/>
                <w:color w:val="1A1A1A"/>
                <w:sz w:val="22"/>
                <w:szCs w:val="22"/>
                <w:lang w:val="es-ES"/>
              </w:rPr>
              <w:t>Área Geográfica</w:t>
            </w:r>
          </w:p>
        </w:tc>
        <w:tc>
          <w:tcPr>
            <w:tcW w:w="7771"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57195214" w14:textId="77777777" w:rsidR="00DF147D" w:rsidRPr="00FF37C1" w:rsidRDefault="00000000" w:rsidP="00FF37C1">
            <w:pPr>
              <w:jc w:val="both"/>
              <w:rPr>
                <w:rFonts w:ascii="Abadi" w:hAnsi="Abadi"/>
                <w:sz w:val="22"/>
                <w:szCs w:val="22"/>
                <w:lang w:val="es-ES"/>
              </w:rPr>
            </w:pPr>
            <w:r>
              <w:rPr>
                <w:rFonts w:ascii="Abadi" w:eastAsia="Calibri" w:hAnsi="Abadi" w:cs="Calibri"/>
                <w:color w:val="1A1A1A"/>
                <w:sz w:val="22"/>
                <w:szCs w:val="22"/>
                <w:lang w:val="es-ES"/>
              </w:rPr>
              <w:t>Venezuela / Hemisferio Occidental / Global</w:t>
            </w:r>
          </w:p>
        </w:tc>
      </w:tr>
      <w:tr w:rsidR="00DF147D" w:rsidRPr="00CB4A49" w14:paraId="49D3E2E8" w14:textId="77777777" w:rsidTr="00FF37C1">
        <w:tc>
          <w:tcPr>
            <w:tcW w:w="2399"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0D93878D" w14:textId="77777777" w:rsidR="00DF147D" w:rsidRPr="00FF37C1" w:rsidRDefault="00000000" w:rsidP="00FF37C1">
            <w:pPr>
              <w:jc w:val="both"/>
              <w:rPr>
                <w:rFonts w:ascii="Abadi" w:hAnsi="Abadi"/>
                <w:sz w:val="22"/>
                <w:szCs w:val="22"/>
                <w:lang w:val="es-ES"/>
              </w:rPr>
            </w:pPr>
            <w:r>
              <w:rPr>
                <w:rFonts w:ascii="Abadi" w:eastAsia="Calibri" w:hAnsi="Abadi" w:cs="Calibri"/>
                <w:b/>
                <w:bCs/>
                <w:color w:val="1A1A1A"/>
                <w:sz w:val="22"/>
                <w:szCs w:val="22"/>
                <w:lang w:val="es-ES"/>
              </w:rPr>
              <w:t>Tipo de Reporte</w:t>
            </w:r>
          </w:p>
        </w:tc>
        <w:tc>
          <w:tcPr>
            <w:tcW w:w="7771"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6FC3E923" w14:textId="77777777" w:rsidR="00DF147D" w:rsidRPr="00FF37C1" w:rsidRDefault="00000000" w:rsidP="00FF37C1">
            <w:pPr>
              <w:jc w:val="both"/>
              <w:rPr>
                <w:rFonts w:ascii="Abadi" w:hAnsi="Abadi"/>
                <w:sz w:val="22"/>
                <w:szCs w:val="22"/>
                <w:lang w:val="es-ES"/>
              </w:rPr>
            </w:pPr>
            <w:r>
              <w:rPr>
                <w:rFonts w:ascii="Abadi" w:eastAsia="Calibri" w:hAnsi="Abadi" w:cs="Calibri"/>
                <w:color w:val="1A1A1A"/>
                <w:sz w:val="22"/>
                <w:szCs w:val="22"/>
                <w:lang w:val="es-ES"/>
              </w:rPr>
              <w:t>Análisis Geopolítico, Energético y Económico</w:t>
            </w:r>
          </w:p>
        </w:tc>
      </w:tr>
      <w:tr w:rsidR="00DF147D" w:rsidRPr="00FF37C1" w14:paraId="7AAE4165" w14:textId="77777777" w:rsidTr="00FF37C1">
        <w:tc>
          <w:tcPr>
            <w:tcW w:w="2399"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60B4B1D3" w14:textId="77777777" w:rsidR="00DF147D" w:rsidRPr="00FF37C1" w:rsidRDefault="00000000" w:rsidP="00FF37C1">
            <w:pPr>
              <w:jc w:val="both"/>
              <w:rPr>
                <w:rFonts w:ascii="Abadi" w:hAnsi="Abadi"/>
                <w:sz w:val="22"/>
                <w:szCs w:val="22"/>
                <w:lang w:val="es-ES"/>
              </w:rPr>
            </w:pPr>
            <w:r>
              <w:rPr>
                <w:rFonts w:ascii="Abadi" w:eastAsia="Calibri" w:hAnsi="Abadi" w:cs="Calibri"/>
                <w:b/>
                <w:bCs/>
                <w:color w:val="1A1A1A"/>
                <w:sz w:val="22"/>
                <w:szCs w:val="22"/>
                <w:lang w:val="es-ES"/>
              </w:rPr>
              <w:t>Preparado por</w:t>
            </w:r>
          </w:p>
        </w:tc>
        <w:tc>
          <w:tcPr>
            <w:tcW w:w="7771"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0F16D9CD" w14:textId="77777777" w:rsidR="00DF147D" w:rsidRPr="00FF37C1" w:rsidRDefault="00000000" w:rsidP="00FF37C1">
            <w:pPr>
              <w:jc w:val="both"/>
              <w:rPr>
                <w:rFonts w:ascii="Abadi" w:hAnsi="Abadi"/>
                <w:sz w:val="22"/>
                <w:szCs w:val="22"/>
                <w:lang w:val="es-ES"/>
              </w:rPr>
            </w:pPr>
            <w:r>
              <w:rPr>
                <w:rFonts w:ascii="Abadi" w:eastAsia="Calibri" w:hAnsi="Abadi" w:cs="Calibri"/>
                <w:color w:val="1A1A1A"/>
                <w:sz w:val="22"/>
                <w:szCs w:val="22"/>
                <w:lang w:val="es-ES"/>
              </w:rPr>
              <w:t>Msc. Pedro Barrueco Perez</w:t>
            </w:r>
          </w:p>
        </w:tc>
      </w:tr>
    </w:tbl>
    <w:p w14:paraId="0A0FBB2D" w14:textId="77777777" w:rsidR="00DF147D" w:rsidRDefault="00DF147D" w:rsidP="00FF37C1">
      <w:pPr>
        <w:jc w:val="both"/>
        <w:rPr>
          <w:rFonts w:ascii="Abadi" w:hAnsi="Abadi"/>
          <w:sz w:val="24"/>
          <w:szCs w:val="24"/>
        </w:rPr>
      </w:pPr>
    </w:p>
    <w:p w14:paraId="188C6E03" w14:textId="77777777" w:rsidR="00FF37C1" w:rsidRPr="00FF37C1" w:rsidRDefault="00FF37C1" w:rsidP="00FF37C1">
      <w:pPr>
        <w:jc w:val="both"/>
        <w:rPr>
          <w:rFonts w:ascii="Abadi" w:hAnsi="Abadi"/>
          <w:sz w:val="24"/>
          <w:szCs w:val="24"/>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FF37C1" w14:paraId="6C5E264C" w14:textId="77777777" w:rsidTr="00FF37C1">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5E653990" w14:textId="77777777" w:rsidR="00DF147D" w:rsidRPr="00FF37C1" w:rsidRDefault="00000000" w:rsidP="00FF37C1">
            <w:pPr>
              <w:jc w:val="both"/>
              <w:rPr>
                <w:rFonts w:ascii="Abadi" w:hAnsi="Abadi"/>
                <w:sz w:val="24"/>
                <w:szCs w:val="24"/>
              </w:rPr>
            </w:pPr>
            <w:r>
              <w:rPr>
                <w:rFonts w:ascii="Abadi" w:eastAsia="Calibri" w:hAnsi="Abadi" w:cs="Calibri"/>
                <w:b/>
                <w:bCs/>
                <w:color w:val="FFFFFF"/>
                <w:sz w:val="24"/>
                <w:szCs w:val="24"/>
              </w:rPr>
              <w:t>1.  RESUMEN EJECUTIVO</w:t>
            </w:r>
          </w:p>
        </w:tc>
      </w:tr>
    </w:tbl>
    <w:p w14:paraId="72F01B68" w14:textId="77777777" w:rsidR="00FF37C1" w:rsidRDefault="00FF37C1" w:rsidP="00FF37C1">
      <w:pPr>
        <w:ind w:firstLine="720"/>
        <w:jc w:val="both"/>
        <w:rPr>
          <w:rFonts w:ascii="Abadi" w:eastAsia="Calibri" w:hAnsi="Abadi" w:cs="Calibri"/>
          <w:color w:val="1A1A1A"/>
          <w:sz w:val="24"/>
          <w:szCs w:val="24"/>
          <w:lang w:val="es-ES"/>
        </w:rPr>
      </w:pPr>
    </w:p>
    <w:p w14:paraId="005850E8"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El presente Intelligence Briefing realiza un análisis integral de la situación venezolana en sus dimensiones energética, económica, política-institucional y de seguridad, con especial énfasis en los vectores de riesgo y oportunidad relevantes para el inversionista privado en el período 2024–2026. El análisis integra fuentes abiertas verificables, incluyendo la Agencia de Información de Energía de los EE.UU. (EIA), la Agencia Internacional de Energía (IEA), la OPEP, el Fondo Monetario Internacional (FMI), el Banco Central de Venezuela (BCV), S&amp;P Global, Bloomberg NEF, Ecoanalítica, organismos de defensa como RAND Corporation e IISS, así como medios especializados venezolanos e internacionales.</w:t>
      </w:r>
    </w:p>
    <w:p w14:paraId="57248BF4" w14:textId="77777777" w:rsidR="00FF37C1" w:rsidRPr="00FF37C1" w:rsidRDefault="00FF37C1" w:rsidP="00A7547F">
      <w:pPr>
        <w:ind w:right="-90" w:firstLine="720"/>
        <w:jc w:val="both"/>
        <w:rPr>
          <w:rFonts w:ascii="Abadi" w:hAnsi="Abadi"/>
          <w:sz w:val="24"/>
          <w:szCs w:val="24"/>
          <w:lang w:val="es-ES"/>
        </w:rPr>
      </w:pPr>
    </w:p>
    <w:p w14:paraId="3019E7E9"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Venezuela atraviesa una coyuntura histórica sin precedentes: la captura de Nicolás Maduro el 3 de enero de 2026 en una operación de fuerzas especiales estadounidenses abrió un proceso de transición política que, a octubre de 2026, avanza de forma incierta pero continua. Simultáneamente, el sector energético registra su recuperación más significativa en dos décadas, impulsada por la expansión de Chevron y nuevos acuerdos energéticos con los Estados Unidos. La economía, parcialmente dolarizada desde 2019, mantiene un crecimiento positivo, aunque frágil, mientras los sectores minero, gasífero y eléctrico presentan estados de desarrollo muy diferenciados.</w:t>
      </w:r>
    </w:p>
    <w:p w14:paraId="7CEF7EAE" w14:textId="77777777" w:rsidR="00CB4A49" w:rsidRDefault="00CB4A49" w:rsidP="00A7547F">
      <w:pPr>
        <w:ind w:right="-90" w:firstLine="720"/>
        <w:jc w:val="both"/>
        <w:rPr>
          <w:rFonts w:ascii="Abadi" w:eastAsia="Calibri" w:hAnsi="Abadi" w:cs="Calibri"/>
          <w:color w:val="1A1A1A"/>
          <w:sz w:val="24"/>
          <w:szCs w:val="24"/>
          <w:lang w:val="es-ES"/>
        </w:rPr>
      </w:pPr>
    </w:p>
    <w:p w14:paraId="6CE29675" w14:textId="77777777" w:rsidR="00A7547F" w:rsidRPr="00FF37C1" w:rsidRDefault="00A7547F" w:rsidP="00A7547F">
      <w:pPr>
        <w:ind w:right="-90" w:firstLine="720"/>
        <w:jc w:val="both"/>
        <w:rPr>
          <w:rFonts w:ascii="Abadi" w:hAnsi="Abadi"/>
          <w:sz w:val="24"/>
          <w:szCs w:val="24"/>
          <w:lang w:val="es-ES"/>
        </w:rPr>
      </w:pPr>
    </w:p>
    <w:tbl>
      <w:tblPr>
        <w:tblW w:w="10170" w:type="dxa"/>
        <w:tblBorders>
          <w:top w:val="single" w:sz="4" w:space="0" w:color="1B2A4A"/>
          <w:left w:val="none" w:sz="0" w:space="0" w:color="FFFFFF"/>
          <w:bottom w:val="single" w:sz="4" w:space="0" w:color="1B2A4A"/>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20"/>
        <w:gridCol w:w="2520"/>
        <w:gridCol w:w="2520"/>
        <w:gridCol w:w="2610"/>
      </w:tblGrid>
      <w:tr w:rsidR="00DF147D" w:rsidRPr="00CB4A49" w14:paraId="74831A4B" w14:textId="77777777" w:rsidTr="00A7547F">
        <w:tc>
          <w:tcPr>
            <w:tcW w:w="2520" w:type="dxa"/>
            <w:tcBorders>
              <w:top w:val="none" w:sz="0" w:space="0" w:color="FFFFFF"/>
              <w:left w:val="none" w:sz="0" w:space="0" w:color="FFFFFF"/>
              <w:bottom w:val="none" w:sz="0" w:space="0" w:color="FFFFFF"/>
              <w:right w:val="single" w:sz="6" w:space="0" w:color="CCCCCC"/>
            </w:tcBorders>
            <w:shd w:val="clear" w:color="auto" w:fill="EEF4FB"/>
            <w:tcMar>
              <w:top w:w="100" w:type="dxa"/>
              <w:left w:w="80" w:type="dxa"/>
              <w:bottom w:w="100" w:type="dxa"/>
              <w:right w:w="80" w:type="dxa"/>
            </w:tcMar>
          </w:tcPr>
          <w:p w14:paraId="4BB2E4EA" w14:textId="77777777" w:rsidR="00DF147D" w:rsidRPr="00A7547F" w:rsidRDefault="00000000" w:rsidP="00A7547F">
            <w:pPr>
              <w:ind w:right="-90"/>
              <w:jc w:val="both"/>
              <w:rPr>
                <w:rFonts w:ascii="Abadi" w:hAnsi="Abadi"/>
                <w:sz w:val="22"/>
                <w:szCs w:val="22"/>
                <w:lang w:val="es-ES"/>
              </w:rPr>
            </w:pPr>
            <w:r>
              <w:rPr>
                <w:rFonts w:ascii="Abadi" w:eastAsia="Calibri" w:hAnsi="Abadi" w:cs="Calibri"/>
                <w:b/>
                <w:bCs/>
                <w:color w:val="4A4A4A"/>
                <w:sz w:val="22"/>
                <w:szCs w:val="22"/>
                <w:lang w:val="es-ES"/>
              </w:rPr>
              <w:t>Producción PDVSA</w:t>
            </w:r>
          </w:p>
          <w:p w14:paraId="2904B9C1" w14:textId="77777777" w:rsidR="00DF147D" w:rsidRPr="00A7547F" w:rsidRDefault="00000000" w:rsidP="00A7547F">
            <w:pPr>
              <w:ind w:right="-90"/>
              <w:jc w:val="both"/>
              <w:rPr>
                <w:rFonts w:ascii="Abadi" w:hAnsi="Abadi"/>
                <w:sz w:val="22"/>
                <w:szCs w:val="22"/>
                <w:lang w:val="es-ES"/>
              </w:rPr>
            </w:pPr>
            <w:r>
              <w:rPr>
                <w:rFonts w:ascii="Abadi" w:eastAsia="Calibri" w:hAnsi="Abadi" w:cs="Calibri"/>
                <w:b/>
                <w:bCs/>
                <w:color w:val="1B2A4A"/>
                <w:sz w:val="22"/>
                <w:szCs w:val="22"/>
                <w:lang w:val="es-ES"/>
              </w:rPr>
              <w:t>~1.1 M bpd</w:t>
            </w:r>
          </w:p>
          <w:p w14:paraId="3556E54D" w14:textId="77777777" w:rsidR="00DF147D" w:rsidRPr="00A7547F" w:rsidRDefault="00000000" w:rsidP="00A7547F">
            <w:pPr>
              <w:ind w:right="-90"/>
              <w:jc w:val="both"/>
              <w:rPr>
                <w:rFonts w:ascii="Abadi" w:hAnsi="Abadi"/>
                <w:sz w:val="22"/>
                <w:szCs w:val="22"/>
                <w:lang w:val="es-ES"/>
              </w:rPr>
            </w:pPr>
            <w:r>
              <w:rPr>
                <w:rFonts w:ascii="Abadi" w:eastAsia="Calibri" w:hAnsi="Abadi" w:cs="Calibri"/>
                <w:color w:val="4A4A4A"/>
                <w:sz w:val="22"/>
                <w:szCs w:val="22"/>
                <w:lang w:val="es-ES"/>
              </w:rPr>
              <w:t>(OPEP, 2025)</w:t>
            </w:r>
          </w:p>
        </w:tc>
        <w:tc>
          <w:tcPr>
            <w:tcW w:w="2520" w:type="dxa"/>
            <w:tcBorders>
              <w:top w:val="none" w:sz="0" w:space="0" w:color="FFFFFF"/>
              <w:left w:val="none" w:sz="0" w:space="0" w:color="FFFFFF"/>
              <w:bottom w:val="none" w:sz="0" w:space="0" w:color="FFFFFF"/>
              <w:right w:val="single" w:sz="6" w:space="0" w:color="CCCCCC"/>
            </w:tcBorders>
            <w:shd w:val="clear" w:color="auto" w:fill="EEF4FB"/>
            <w:tcMar>
              <w:top w:w="100" w:type="dxa"/>
              <w:left w:w="80" w:type="dxa"/>
              <w:bottom w:w="100" w:type="dxa"/>
              <w:right w:w="80" w:type="dxa"/>
            </w:tcMar>
          </w:tcPr>
          <w:p w14:paraId="61A779B0" w14:textId="77777777" w:rsidR="00DF147D" w:rsidRPr="00A7547F" w:rsidRDefault="00000000" w:rsidP="00A7547F">
            <w:pPr>
              <w:ind w:right="-90"/>
              <w:jc w:val="both"/>
              <w:rPr>
                <w:rFonts w:ascii="Abadi" w:hAnsi="Abadi"/>
                <w:sz w:val="22"/>
                <w:szCs w:val="22"/>
                <w:lang w:val="es-ES"/>
              </w:rPr>
            </w:pPr>
            <w:r>
              <w:rPr>
                <w:rFonts w:ascii="Abadi" w:eastAsia="Calibri" w:hAnsi="Abadi" w:cs="Calibri"/>
                <w:b/>
                <w:bCs/>
                <w:color w:val="4A4A4A"/>
                <w:sz w:val="22"/>
                <w:szCs w:val="22"/>
                <w:lang w:val="es-ES"/>
              </w:rPr>
              <w:t>Reservas Probadas</w:t>
            </w:r>
          </w:p>
          <w:p w14:paraId="70F4300C" w14:textId="77777777" w:rsidR="00DF147D" w:rsidRPr="00A7547F" w:rsidRDefault="00000000" w:rsidP="00A7547F">
            <w:pPr>
              <w:ind w:right="-90"/>
              <w:jc w:val="both"/>
              <w:rPr>
                <w:rFonts w:ascii="Abadi" w:hAnsi="Abadi"/>
                <w:sz w:val="22"/>
                <w:szCs w:val="22"/>
                <w:lang w:val="es-ES"/>
              </w:rPr>
            </w:pPr>
            <w:r>
              <w:rPr>
                <w:rFonts w:ascii="Abadi" w:eastAsia="Calibri" w:hAnsi="Abadi" w:cs="Calibri"/>
                <w:b/>
                <w:bCs/>
                <w:color w:val="1B2A4A"/>
                <w:sz w:val="22"/>
                <w:szCs w:val="22"/>
                <w:lang w:val="es-ES"/>
              </w:rPr>
              <w:t>303.8 Gmmbls</w:t>
            </w:r>
          </w:p>
          <w:p w14:paraId="62E437C4" w14:textId="77777777" w:rsidR="00DF147D" w:rsidRPr="00A7547F" w:rsidRDefault="00000000" w:rsidP="00A7547F">
            <w:pPr>
              <w:ind w:right="-90"/>
              <w:jc w:val="both"/>
              <w:rPr>
                <w:rFonts w:ascii="Abadi" w:hAnsi="Abadi"/>
                <w:sz w:val="22"/>
                <w:szCs w:val="22"/>
                <w:lang w:val="es-ES"/>
              </w:rPr>
            </w:pPr>
            <w:r>
              <w:rPr>
                <w:rFonts w:ascii="Abadi" w:eastAsia="Calibri" w:hAnsi="Abadi" w:cs="Calibri"/>
                <w:color w:val="4A4A4A"/>
                <w:sz w:val="22"/>
                <w:szCs w:val="22"/>
                <w:lang w:val="es-ES"/>
              </w:rPr>
              <w:t>(#1 mundial)</w:t>
            </w:r>
          </w:p>
        </w:tc>
        <w:tc>
          <w:tcPr>
            <w:tcW w:w="2520" w:type="dxa"/>
            <w:tcBorders>
              <w:top w:val="none" w:sz="0" w:space="0" w:color="FFFFFF"/>
              <w:left w:val="none" w:sz="0" w:space="0" w:color="FFFFFF"/>
              <w:bottom w:val="none" w:sz="0" w:space="0" w:color="FFFFFF"/>
              <w:right w:val="single" w:sz="6" w:space="0" w:color="CCCCCC"/>
            </w:tcBorders>
            <w:shd w:val="clear" w:color="auto" w:fill="EEF4FB"/>
            <w:tcMar>
              <w:top w:w="100" w:type="dxa"/>
              <w:left w:w="80" w:type="dxa"/>
              <w:bottom w:w="100" w:type="dxa"/>
              <w:right w:w="80" w:type="dxa"/>
            </w:tcMar>
          </w:tcPr>
          <w:p w14:paraId="683C3A56" w14:textId="77777777" w:rsidR="00DF147D" w:rsidRPr="00A7547F" w:rsidRDefault="00000000" w:rsidP="00A7547F">
            <w:pPr>
              <w:ind w:right="-90"/>
              <w:jc w:val="both"/>
              <w:rPr>
                <w:rFonts w:ascii="Abadi" w:hAnsi="Abadi"/>
                <w:sz w:val="22"/>
                <w:szCs w:val="22"/>
                <w:lang w:val="es-ES"/>
              </w:rPr>
            </w:pPr>
            <w:r>
              <w:rPr>
                <w:rFonts w:ascii="Abadi" w:eastAsia="Calibri" w:hAnsi="Abadi" w:cs="Calibri"/>
                <w:b/>
                <w:bCs/>
                <w:color w:val="4A4A4A"/>
                <w:sz w:val="22"/>
                <w:szCs w:val="22"/>
                <w:lang w:val="es-ES"/>
              </w:rPr>
              <w:t>Crecimiento PIB 2025</w:t>
            </w:r>
          </w:p>
          <w:p w14:paraId="6996D0CD" w14:textId="77777777" w:rsidR="00DF147D" w:rsidRPr="00A7547F" w:rsidRDefault="00000000" w:rsidP="00A7547F">
            <w:pPr>
              <w:ind w:right="-90"/>
              <w:jc w:val="both"/>
              <w:rPr>
                <w:rFonts w:ascii="Abadi" w:hAnsi="Abadi"/>
                <w:sz w:val="22"/>
                <w:szCs w:val="22"/>
                <w:lang w:val="es-ES"/>
              </w:rPr>
            </w:pPr>
            <w:r>
              <w:rPr>
                <w:rFonts w:ascii="Abadi" w:eastAsia="Calibri" w:hAnsi="Abadi" w:cs="Calibri"/>
                <w:b/>
                <w:bCs/>
                <w:color w:val="1B2A4A"/>
                <w:sz w:val="22"/>
                <w:szCs w:val="22"/>
                <w:lang w:val="es-ES"/>
              </w:rPr>
              <w:t>+9.32%</w:t>
            </w:r>
          </w:p>
          <w:p w14:paraId="59D54753" w14:textId="77777777" w:rsidR="00DF147D" w:rsidRPr="00A7547F" w:rsidRDefault="00000000" w:rsidP="00A7547F">
            <w:pPr>
              <w:ind w:right="-90"/>
              <w:jc w:val="both"/>
              <w:rPr>
                <w:rFonts w:ascii="Abadi" w:hAnsi="Abadi"/>
                <w:sz w:val="22"/>
                <w:szCs w:val="22"/>
                <w:lang w:val="es-ES"/>
              </w:rPr>
            </w:pPr>
            <w:r>
              <w:rPr>
                <w:rFonts w:ascii="Abadi" w:eastAsia="Calibri" w:hAnsi="Abadi" w:cs="Calibri"/>
                <w:color w:val="4A4A4A"/>
                <w:sz w:val="22"/>
                <w:szCs w:val="22"/>
                <w:lang w:val="es-ES"/>
              </w:rPr>
              <w:t>(BCV / Q1 2025)</w:t>
            </w:r>
          </w:p>
        </w:tc>
        <w:tc>
          <w:tcPr>
            <w:tcW w:w="2610" w:type="dxa"/>
            <w:tcBorders>
              <w:top w:val="none" w:sz="0" w:space="0" w:color="FFFFFF"/>
              <w:left w:val="none" w:sz="0" w:space="0" w:color="FFFFFF"/>
              <w:bottom w:val="none" w:sz="0" w:space="0" w:color="FFFFFF"/>
              <w:right w:val="none" w:sz="0" w:space="0" w:color="FFFFFF"/>
            </w:tcBorders>
            <w:shd w:val="clear" w:color="auto" w:fill="EEF4FB"/>
            <w:tcMar>
              <w:top w:w="100" w:type="dxa"/>
              <w:left w:w="80" w:type="dxa"/>
              <w:bottom w:w="100" w:type="dxa"/>
              <w:right w:w="80" w:type="dxa"/>
            </w:tcMar>
          </w:tcPr>
          <w:p w14:paraId="661E28D8" w14:textId="77777777" w:rsidR="00DF147D" w:rsidRPr="00A7547F" w:rsidRDefault="00000000" w:rsidP="00A7547F">
            <w:pPr>
              <w:ind w:right="-90"/>
              <w:jc w:val="both"/>
              <w:rPr>
                <w:rFonts w:ascii="Abadi" w:hAnsi="Abadi"/>
                <w:sz w:val="22"/>
                <w:szCs w:val="22"/>
                <w:lang w:val="es-ES"/>
              </w:rPr>
            </w:pPr>
            <w:r>
              <w:rPr>
                <w:rFonts w:ascii="Abadi" w:eastAsia="Calibri" w:hAnsi="Abadi" w:cs="Calibri"/>
                <w:b/>
                <w:bCs/>
                <w:color w:val="4A4A4A"/>
                <w:sz w:val="22"/>
                <w:szCs w:val="22"/>
                <w:lang w:val="es-ES"/>
              </w:rPr>
              <w:t>Inversión Chevron</w:t>
            </w:r>
          </w:p>
          <w:p w14:paraId="2E11E3AD" w14:textId="77777777" w:rsidR="00DF147D" w:rsidRPr="00A7547F" w:rsidRDefault="00000000" w:rsidP="00A7547F">
            <w:pPr>
              <w:ind w:right="-90"/>
              <w:jc w:val="both"/>
              <w:rPr>
                <w:rFonts w:ascii="Abadi" w:hAnsi="Abadi"/>
                <w:sz w:val="22"/>
                <w:szCs w:val="22"/>
                <w:lang w:val="es-ES"/>
              </w:rPr>
            </w:pPr>
            <w:r>
              <w:rPr>
                <w:rFonts w:ascii="Abadi" w:eastAsia="Calibri" w:hAnsi="Abadi" w:cs="Calibri"/>
                <w:b/>
                <w:bCs/>
                <w:color w:val="1B2A4A"/>
                <w:sz w:val="22"/>
                <w:szCs w:val="22"/>
                <w:lang w:val="es-ES"/>
              </w:rPr>
              <w:t>USD $7B</w:t>
            </w:r>
          </w:p>
          <w:p w14:paraId="7F582B53" w14:textId="77777777" w:rsidR="00DF147D" w:rsidRPr="00A7547F" w:rsidRDefault="00000000" w:rsidP="00A7547F">
            <w:pPr>
              <w:ind w:right="-90"/>
              <w:jc w:val="both"/>
              <w:rPr>
                <w:rFonts w:ascii="Abadi" w:hAnsi="Abadi"/>
                <w:sz w:val="22"/>
                <w:szCs w:val="22"/>
                <w:lang w:val="es-ES"/>
              </w:rPr>
            </w:pPr>
            <w:r>
              <w:rPr>
                <w:rFonts w:ascii="Abadi" w:eastAsia="Calibri" w:hAnsi="Abadi" w:cs="Calibri"/>
                <w:color w:val="4A4A4A"/>
                <w:sz w:val="22"/>
                <w:szCs w:val="22"/>
                <w:lang w:val="es-ES"/>
              </w:rPr>
              <w:t>Meta: 600K bpd</w:t>
            </w:r>
          </w:p>
        </w:tc>
      </w:tr>
    </w:tbl>
    <w:p w14:paraId="649494EC" w14:textId="77777777" w:rsidR="00DF147D" w:rsidRDefault="00DF147D" w:rsidP="00A7547F">
      <w:pPr>
        <w:ind w:right="-90"/>
        <w:jc w:val="both"/>
        <w:rPr>
          <w:rFonts w:ascii="Abadi" w:hAnsi="Abadi"/>
          <w:sz w:val="24"/>
          <w:szCs w:val="24"/>
          <w:lang w:val="es-ES"/>
        </w:rPr>
      </w:pPr>
    </w:p>
    <w:p w14:paraId="30BA5777" w14:textId="77777777" w:rsidR="00CB4A49" w:rsidRPr="00FF37C1" w:rsidRDefault="00CB4A49" w:rsidP="00A7547F">
      <w:pPr>
        <w:ind w:right="-90"/>
        <w:jc w:val="both"/>
        <w:rPr>
          <w:rFonts w:ascii="Abadi" w:hAnsi="Abadi"/>
          <w:sz w:val="24"/>
          <w:szCs w:val="24"/>
          <w:lang w:val="es-ES"/>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CB4A49" w14:paraId="3C8BA7BE" w14:textId="77777777" w:rsidTr="00A7547F">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33220E4E" w14:textId="77777777" w:rsidR="00DF147D" w:rsidRPr="00FF37C1" w:rsidRDefault="00000000" w:rsidP="00A7547F">
            <w:pPr>
              <w:ind w:right="-90"/>
              <w:jc w:val="both"/>
              <w:rPr>
                <w:rFonts w:ascii="Abadi" w:hAnsi="Abadi"/>
                <w:sz w:val="24"/>
                <w:szCs w:val="24"/>
                <w:lang w:val="es-ES"/>
              </w:rPr>
            </w:pPr>
            <w:r>
              <w:rPr>
                <w:rFonts w:ascii="Abadi" w:eastAsia="Calibri" w:hAnsi="Abadi" w:cs="Calibri"/>
                <w:b/>
                <w:bCs/>
                <w:color w:val="FFFFFF"/>
                <w:sz w:val="24"/>
                <w:szCs w:val="24"/>
                <w:lang w:val="es-ES"/>
              </w:rPr>
              <w:t>2.  PANORAMA POLÍTICO: TRANSICIÓN POST-MADURO</w:t>
            </w:r>
          </w:p>
        </w:tc>
      </w:tr>
    </w:tbl>
    <w:p w14:paraId="54AF02F5" w14:textId="77777777" w:rsidR="00A7547F" w:rsidRDefault="00A7547F" w:rsidP="00A7547F">
      <w:pPr>
        <w:pBdr>
          <w:bottom w:val="single" w:sz="6" w:space="0" w:color="CC0000"/>
        </w:pBdr>
        <w:ind w:right="-90"/>
        <w:jc w:val="both"/>
        <w:rPr>
          <w:rFonts w:ascii="Abadi" w:eastAsia="Calibri" w:hAnsi="Abadi" w:cs="Calibri"/>
          <w:b/>
          <w:bCs/>
          <w:color w:val="1A1A1A"/>
          <w:sz w:val="24"/>
          <w:szCs w:val="24"/>
          <w:lang w:val="es-ES"/>
        </w:rPr>
      </w:pPr>
    </w:p>
    <w:p w14:paraId="59115029"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2.1  El Quiebre del 28-J y el Proceso de Transición</w:t>
      </w:r>
    </w:p>
    <w:p w14:paraId="083D28F6" w14:textId="77777777" w:rsidR="00A7547F" w:rsidRDefault="00A7547F" w:rsidP="00A7547F">
      <w:pPr>
        <w:ind w:right="-90" w:firstLine="720"/>
        <w:jc w:val="both"/>
        <w:rPr>
          <w:rFonts w:ascii="Abadi" w:eastAsia="Calibri" w:hAnsi="Abadi" w:cs="Calibri"/>
          <w:color w:val="1A1A1A"/>
          <w:sz w:val="24"/>
          <w:szCs w:val="24"/>
          <w:lang w:val="es-ES"/>
        </w:rPr>
      </w:pPr>
    </w:p>
    <w:p w14:paraId="2D5926B5"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Las elecciones presidenciales del 28 de julio de 2024 constituyeron el punto de inflexión político más significativo de Venezuela en décadas. El Consejo Nacional Electoral (CNE), dominado por el oficialismo, proclamó la reelección de Nicolás Maduro con cifras que la oposición, observadores internacionales y múltiples gobiernos de la región rechazaron como fraudulentas. La Plataforma Unitaria Democrática (PUD), liderada por María Corina Machado, y el candidato opositor Edmundo González Urrutia presentaron actas de votación que mostraban una victoria amplia para González con aproximadamente 67% de los votos frente al 30% de Maduro.</w:t>
      </w:r>
    </w:p>
    <w:p w14:paraId="502EB037" w14:textId="77777777" w:rsidR="00A7547F" w:rsidRPr="00FF37C1" w:rsidRDefault="00A7547F" w:rsidP="00A7547F">
      <w:pPr>
        <w:ind w:right="-90" w:firstLine="720"/>
        <w:jc w:val="both"/>
        <w:rPr>
          <w:rFonts w:ascii="Abadi" w:hAnsi="Abadi"/>
          <w:sz w:val="24"/>
          <w:szCs w:val="24"/>
          <w:lang w:val="es-ES"/>
        </w:rPr>
      </w:pPr>
    </w:p>
    <w:p w14:paraId="2A2B0C3E"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La represión post-electoral resultó en más de 2,400 detenciones, decenas de muertos durante las protestas y la inhabilitación política de líderes opositores. González Urrutia fue reconocido como Presidente electo legítimo por más de 15 países, incluyendo Estados Unidos, Argentina y la mayoría de los miembros de la Unión Europea. Sin embargo, el régimen mantuvo el control del aparato del Estado hasta enero de 2026.</w:t>
      </w:r>
    </w:p>
    <w:p w14:paraId="50816D54" w14:textId="77777777" w:rsidR="00A7547F" w:rsidRPr="00FF37C1" w:rsidRDefault="00A7547F" w:rsidP="00A7547F">
      <w:pPr>
        <w:ind w:right="-90" w:firstLine="720"/>
        <w:jc w:val="both"/>
        <w:rPr>
          <w:rFonts w:ascii="Abadi" w:hAnsi="Abadi"/>
          <w:sz w:val="24"/>
          <w:szCs w:val="24"/>
          <w:lang w:val="es-ES"/>
        </w:rPr>
      </w:pPr>
    </w:p>
    <w:p w14:paraId="104C224F"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2.2  La Captura de Maduro (3 de enero de 2026)</w:t>
      </w:r>
    </w:p>
    <w:p w14:paraId="53CCEEAA" w14:textId="77777777" w:rsidR="00A7547F" w:rsidRDefault="00A7547F" w:rsidP="00A7547F">
      <w:pPr>
        <w:ind w:right="-90" w:firstLine="720"/>
        <w:jc w:val="both"/>
        <w:rPr>
          <w:rFonts w:ascii="Abadi" w:eastAsia="Calibri" w:hAnsi="Abadi" w:cs="Calibri"/>
          <w:color w:val="1A1A1A"/>
          <w:sz w:val="24"/>
          <w:szCs w:val="24"/>
          <w:lang w:val="es-ES"/>
        </w:rPr>
      </w:pPr>
    </w:p>
    <w:p w14:paraId="77ECD1E9"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En una operación de alto impacto estratégico, fuerzas especiales estadounidenses llevaron a cabo la captura de Nicolás Maduro en Caracas el 3 de enero de 2026, en el contexto de los cargos por narcotráfico que pesaban contra él desde 2020 ante la Corte del Distrito Sur de Nueva York. La operación, que resultó en la muerte de aproximadamente 40 efectivos cubanos que formaban parte del aparato de seguridad personal del expresidente, marcó el colapso del aparato de poder chavista-madurista.</w:t>
      </w:r>
    </w:p>
    <w:p w14:paraId="786A58F3" w14:textId="77777777" w:rsidR="00CB4A49" w:rsidRPr="00FF37C1" w:rsidRDefault="00CB4A49" w:rsidP="00A7547F">
      <w:pPr>
        <w:ind w:right="-90" w:firstLine="720"/>
        <w:jc w:val="both"/>
        <w:rPr>
          <w:rFonts w:ascii="Abadi" w:hAnsi="Abadi"/>
          <w:sz w:val="24"/>
          <w:szCs w:val="24"/>
          <w:lang w:val="es-ES"/>
        </w:rPr>
      </w:pPr>
    </w:p>
    <w:p w14:paraId="533DD5E6"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A diferencia del proceso de post-Noriega en Panamá (1989), la transición venezolana no ha sido lineal. El vacío de poder inmediato fue disputado entre facciones del PSUV, las Fuerzas Armadas Bolivarianas (FANB) y la oposición democrática. La figura de Diosdado Cabello, implicada en el proceso de negociación con Washington, emergió como factor de equilibrio temporal.</w:t>
      </w:r>
    </w:p>
    <w:p w14:paraId="3C883673" w14:textId="77777777" w:rsidR="00CB4A49" w:rsidRDefault="00CB4A49" w:rsidP="00A7547F">
      <w:pPr>
        <w:ind w:right="-90" w:firstLine="720"/>
        <w:jc w:val="both"/>
        <w:rPr>
          <w:rFonts w:ascii="Abadi" w:eastAsia="Calibri" w:hAnsi="Abadi" w:cs="Calibri"/>
          <w:color w:val="1A1A1A"/>
          <w:sz w:val="24"/>
          <w:szCs w:val="24"/>
          <w:lang w:val="es-ES"/>
        </w:rPr>
      </w:pPr>
    </w:p>
    <w:p w14:paraId="4D56C231" w14:textId="77777777" w:rsidR="00CB4A49" w:rsidRDefault="00CB4A49" w:rsidP="00A7547F">
      <w:pPr>
        <w:ind w:right="-90" w:firstLine="720"/>
        <w:jc w:val="both"/>
        <w:rPr>
          <w:rFonts w:ascii="Abadi" w:eastAsia="Calibri" w:hAnsi="Abadi" w:cs="Calibri"/>
          <w:color w:val="1A1A1A"/>
          <w:sz w:val="24"/>
          <w:szCs w:val="24"/>
          <w:lang w:val="es-ES"/>
        </w:rPr>
      </w:pPr>
    </w:p>
    <w:p w14:paraId="73C093C4" w14:textId="77777777" w:rsidR="00CB4A49" w:rsidRDefault="00CB4A49" w:rsidP="00A7547F">
      <w:pPr>
        <w:ind w:right="-90" w:firstLine="720"/>
        <w:jc w:val="both"/>
        <w:rPr>
          <w:rFonts w:ascii="Abadi" w:eastAsia="Calibri" w:hAnsi="Abadi" w:cs="Calibri"/>
          <w:color w:val="1A1A1A"/>
          <w:sz w:val="24"/>
          <w:szCs w:val="24"/>
          <w:lang w:val="es-ES"/>
        </w:rPr>
      </w:pPr>
    </w:p>
    <w:p w14:paraId="7EA31D8B" w14:textId="77777777" w:rsidR="00CB4A49" w:rsidRDefault="00CB4A49" w:rsidP="00A7547F">
      <w:pPr>
        <w:ind w:right="-90" w:firstLine="720"/>
        <w:jc w:val="both"/>
        <w:rPr>
          <w:rFonts w:ascii="Abadi" w:eastAsia="Calibri" w:hAnsi="Abadi" w:cs="Calibri"/>
          <w:color w:val="1A1A1A"/>
          <w:sz w:val="24"/>
          <w:szCs w:val="24"/>
          <w:lang w:val="es-ES"/>
        </w:rPr>
      </w:pPr>
    </w:p>
    <w:p w14:paraId="0643B4F2" w14:textId="77777777" w:rsidR="00A7547F" w:rsidRPr="00FF37C1" w:rsidRDefault="00A7547F" w:rsidP="00A7547F">
      <w:pPr>
        <w:ind w:right="-90" w:firstLine="720"/>
        <w:jc w:val="both"/>
        <w:rPr>
          <w:rFonts w:ascii="Abadi" w:hAnsi="Abadi"/>
          <w:sz w:val="24"/>
          <w:szCs w:val="24"/>
          <w:lang w:val="es-ES"/>
        </w:rPr>
      </w:pPr>
    </w:p>
    <w:tbl>
      <w:tblPr>
        <w:tblW w:w="1008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CB4A49" w14:paraId="73653F74" w14:textId="77777777">
        <w:tc>
          <w:tcPr>
            <w:tcW w:w="10080" w:type="dxa"/>
            <w:tcBorders>
              <w:top w:val="none" w:sz="0" w:space="0" w:color="FFFFFF"/>
              <w:left w:val="none" w:sz="0" w:space="0" w:color="FFFFFF"/>
              <w:bottom w:val="none" w:sz="0" w:space="0" w:color="FFFFFF"/>
              <w:right w:val="none" w:sz="0" w:space="0" w:color="FFFFFF"/>
            </w:tcBorders>
            <w:shd w:val="clear" w:color="auto" w:fill="E8E8E8"/>
            <w:tcMar>
              <w:top w:w="80" w:type="dxa"/>
              <w:left w:w="160" w:type="dxa"/>
              <w:bottom w:w="80" w:type="dxa"/>
              <w:right w:w="160" w:type="dxa"/>
            </w:tcMar>
          </w:tcPr>
          <w:p w14:paraId="6E8159F7" w14:textId="77777777" w:rsidR="00DF147D" w:rsidRPr="00FF37C1" w:rsidRDefault="00000000" w:rsidP="00A7547F">
            <w:pPr>
              <w:ind w:right="-90"/>
              <w:jc w:val="both"/>
              <w:rPr>
                <w:rFonts w:ascii="Abadi" w:hAnsi="Abadi"/>
                <w:sz w:val="24"/>
                <w:szCs w:val="24"/>
                <w:lang w:val="es-ES"/>
              </w:rPr>
            </w:pPr>
            <w:r>
              <w:rPr>
                <w:rFonts w:ascii="Segoe UI Symbol" w:eastAsia="Calibri" w:hAnsi="Segoe UI Symbol" w:cs="Segoe UI Symbol"/>
                <w:b/>
                <w:bCs/>
                <w:color w:val="CC0000"/>
                <w:sz w:val="24"/>
                <w:szCs w:val="24"/>
                <w:lang w:val="es-ES"/>
              </w:rPr>
              <w:lastRenderedPageBreak/>
              <w:t>⚠</w:t>
            </w:r>
            <w:r>
              <w:rPr>
                <w:rFonts w:ascii="Abadi" w:eastAsia="Calibri" w:hAnsi="Abadi" w:cs="Calibri"/>
                <w:b/>
                <w:bCs/>
                <w:color w:val="CC0000"/>
                <w:sz w:val="24"/>
                <w:szCs w:val="24"/>
                <w:lang w:val="es-ES"/>
              </w:rPr>
              <w:t xml:space="preserve"> </w:t>
            </w:r>
            <w:r>
              <w:rPr>
                <w:rFonts w:ascii="Abadi" w:eastAsia="Calibri" w:hAnsi="Abadi" w:cs="Calibri"/>
                <w:b/>
                <w:bCs/>
                <w:color w:val="1A1A1A"/>
                <w:sz w:val="24"/>
                <w:szCs w:val="24"/>
                <w:lang w:val="es-ES"/>
              </w:rPr>
              <w:t>HITO ESTRATÉGICO: CAPTURA DE MADURO (ENE. 2026)</w:t>
            </w:r>
          </w:p>
        </w:tc>
      </w:tr>
      <w:tr w:rsidR="00DF147D" w:rsidRPr="00CB4A49" w14:paraId="528E7517"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0E40468C" w14:textId="77777777" w:rsidR="00A7547F" w:rsidRPr="00A7547F" w:rsidRDefault="00A7547F" w:rsidP="00A7547F">
            <w:pPr>
              <w:pStyle w:val="Prrafodelista"/>
              <w:ind w:left="720" w:right="-90"/>
              <w:jc w:val="both"/>
              <w:rPr>
                <w:rFonts w:ascii="Abadi" w:hAnsi="Abadi"/>
                <w:sz w:val="24"/>
                <w:szCs w:val="24"/>
                <w:lang w:val="es-ES"/>
              </w:rPr>
            </w:pPr>
          </w:p>
          <w:p w14:paraId="52DF10A5" w14:textId="77777777" w:rsidR="00DF147D" w:rsidRPr="00A7547F" w:rsidRDefault="00000000" w:rsidP="00A7547F">
            <w:pPr>
              <w:pStyle w:val="Prrafodelista"/>
              <w:numPr>
                <w:ilvl w:val="0"/>
                <w:numId w:val="2"/>
              </w:numPr>
              <w:ind w:right="-90"/>
              <w:jc w:val="both"/>
              <w:rPr>
                <w:rFonts w:ascii="Abadi" w:hAnsi="Abadi"/>
                <w:sz w:val="24"/>
                <w:szCs w:val="24"/>
                <w:lang w:val="es-ES"/>
              </w:rPr>
            </w:pPr>
            <w:r>
              <w:rPr>
                <w:rFonts w:ascii="Abadi" w:eastAsia="Calibri" w:hAnsi="Abadi" w:cs="Calibri"/>
                <w:color w:val="1A1A1A"/>
                <w:sz w:val="24"/>
                <w:szCs w:val="24"/>
                <w:lang w:val="es-ES"/>
              </w:rPr>
              <w:t>Maduro detenido el 3 de enero de 2026 en operación conjunta DEA/Fuerzas Especiales EE.UU. Actualmente en custodia en Nueva York bajo cargos de narcotráfico (Corte SDNY).</w:t>
            </w:r>
          </w:p>
        </w:tc>
      </w:tr>
      <w:tr w:rsidR="00DF147D" w:rsidRPr="00A7547F" w14:paraId="230D19A6"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3E2EC374" w14:textId="77777777" w:rsidR="00DF147D" w:rsidRPr="00A7547F" w:rsidRDefault="00000000" w:rsidP="00A7547F">
            <w:pPr>
              <w:pStyle w:val="Prrafodelista"/>
              <w:numPr>
                <w:ilvl w:val="0"/>
                <w:numId w:val="2"/>
              </w:numPr>
              <w:ind w:right="-90"/>
              <w:jc w:val="both"/>
              <w:rPr>
                <w:rFonts w:ascii="Abadi" w:hAnsi="Abadi"/>
                <w:sz w:val="24"/>
                <w:szCs w:val="24"/>
                <w:lang w:val="es-ES"/>
              </w:rPr>
            </w:pPr>
            <w:r>
              <w:rPr>
                <w:rFonts w:ascii="Abadi" w:eastAsia="Calibri" w:hAnsi="Abadi" w:cs="Calibri"/>
                <w:color w:val="1A1A1A"/>
                <w:sz w:val="24"/>
                <w:szCs w:val="24"/>
                <w:lang w:val="es-ES"/>
              </w:rPr>
              <w:t>La operación desmanteló el aparato de seguridad paralela cubano (Guardia Pretoriana). ~40 efectivos cubanos fallecidos según fuentes de inteligencia regional.</w:t>
            </w:r>
          </w:p>
        </w:tc>
      </w:tr>
      <w:tr w:rsidR="00DF147D" w:rsidRPr="00CB4A49" w14:paraId="68DB9337"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489DCD58" w14:textId="77777777" w:rsidR="00DF147D" w:rsidRPr="00A7547F" w:rsidRDefault="00000000" w:rsidP="00A7547F">
            <w:pPr>
              <w:pStyle w:val="Prrafodelista"/>
              <w:numPr>
                <w:ilvl w:val="0"/>
                <w:numId w:val="2"/>
              </w:numPr>
              <w:ind w:right="-90"/>
              <w:jc w:val="both"/>
              <w:rPr>
                <w:rFonts w:ascii="Abadi" w:hAnsi="Abadi"/>
                <w:sz w:val="24"/>
                <w:szCs w:val="24"/>
                <w:lang w:val="es-ES"/>
              </w:rPr>
            </w:pPr>
            <w:r>
              <w:rPr>
                <w:rFonts w:ascii="Abadi" w:eastAsia="Calibri" w:hAnsi="Abadi" w:cs="Calibri"/>
                <w:color w:val="1A1A1A"/>
                <w:sz w:val="24"/>
                <w:szCs w:val="24"/>
                <w:lang w:val="es-ES"/>
              </w:rPr>
              <w:t>La FANB no opuso resistencia organizada, validando las estimaciones previas de erosión de lealtad institucional tras la crisis 2019-2024.</w:t>
            </w:r>
          </w:p>
        </w:tc>
      </w:tr>
      <w:tr w:rsidR="00DF147D" w:rsidRPr="00CB4A49" w14:paraId="336EAA75"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4AAB948C" w14:textId="77777777" w:rsidR="00DF147D" w:rsidRPr="00A7547F" w:rsidRDefault="00000000" w:rsidP="00A7547F">
            <w:pPr>
              <w:pStyle w:val="Prrafodelista"/>
              <w:numPr>
                <w:ilvl w:val="0"/>
                <w:numId w:val="2"/>
              </w:numPr>
              <w:ind w:right="-90"/>
              <w:jc w:val="both"/>
              <w:rPr>
                <w:rFonts w:ascii="Abadi" w:hAnsi="Abadi"/>
                <w:sz w:val="24"/>
                <w:szCs w:val="24"/>
                <w:lang w:val="es-ES"/>
              </w:rPr>
            </w:pPr>
            <w:r>
              <w:rPr>
                <w:rFonts w:ascii="Abadi" w:eastAsia="Calibri" w:hAnsi="Abadi" w:cs="Calibri"/>
                <w:color w:val="1A1A1A"/>
                <w:sz w:val="24"/>
                <w:szCs w:val="24"/>
                <w:lang w:val="es-ES"/>
              </w:rPr>
              <w:t>Efecto inmediato: reconocimiento acelerado de transición por parte de los principales socios comerciales de Venezuela incluyendo China y Rusia.</w:t>
            </w:r>
          </w:p>
        </w:tc>
      </w:tr>
    </w:tbl>
    <w:p w14:paraId="378E1E0D" w14:textId="77777777" w:rsidR="00DF147D" w:rsidRPr="00FF37C1" w:rsidRDefault="00DF147D" w:rsidP="00A7547F">
      <w:pPr>
        <w:ind w:right="-90"/>
        <w:jc w:val="both"/>
        <w:rPr>
          <w:rFonts w:ascii="Abadi" w:hAnsi="Abadi"/>
          <w:sz w:val="24"/>
          <w:szCs w:val="24"/>
          <w:lang w:val="es-ES"/>
        </w:rPr>
      </w:pPr>
    </w:p>
    <w:p w14:paraId="6223A081"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2.3  Estado Actual de la Transición (Octubre 2026)</w:t>
      </w:r>
    </w:p>
    <w:p w14:paraId="0BD14F28" w14:textId="77777777" w:rsidR="00A7547F" w:rsidRDefault="00A7547F" w:rsidP="00A7547F">
      <w:pPr>
        <w:ind w:right="-90" w:firstLine="720"/>
        <w:jc w:val="both"/>
        <w:rPr>
          <w:rFonts w:ascii="Abadi" w:eastAsia="Calibri" w:hAnsi="Abadi" w:cs="Calibri"/>
          <w:color w:val="1A1A1A"/>
          <w:sz w:val="24"/>
          <w:szCs w:val="24"/>
          <w:lang w:val="es-ES"/>
        </w:rPr>
      </w:pPr>
    </w:p>
    <w:p w14:paraId="77D66049"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A octubre de 2026, Venezuela opera bajo un gobierno de transición de facto que combina elementos de la oposición democrática con sectores reformistas de las Fuerzas Armadas. El proceso de negociación, mediado por Noruega y con participación de Brasil y Colombia, ha producido acuerdos parciales sobre el cronograma electoral y la arquitectura institucional del Estado.</w:t>
      </w:r>
    </w:p>
    <w:p w14:paraId="7638B78B" w14:textId="77777777" w:rsidR="00A7547F" w:rsidRPr="00FF37C1" w:rsidRDefault="00A7547F" w:rsidP="00A7547F">
      <w:pPr>
        <w:ind w:right="-90" w:firstLine="720"/>
        <w:jc w:val="both"/>
        <w:rPr>
          <w:rFonts w:ascii="Abadi" w:hAnsi="Abadi"/>
          <w:sz w:val="24"/>
          <w:szCs w:val="24"/>
          <w:lang w:val="es-E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60"/>
        <w:gridCol w:w="3360"/>
        <w:gridCol w:w="3445"/>
      </w:tblGrid>
      <w:tr w:rsidR="00DF147D" w:rsidRPr="00A7547F" w14:paraId="0ACC12B8" w14:textId="77777777" w:rsidTr="00A7547F">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8E64667"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Dimensión</w:t>
            </w:r>
          </w:p>
        </w:tc>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527E7D0"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Estado (oct. 2026)</w:t>
            </w:r>
          </w:p>
        </w:tc>
        <w:tc>
          <w:tcPr>
            <w:tcW w:w="3445"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6F4DCEB"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Riesgo Principal</w:t>
            </w:r>
          </w:p>
        </w:tc>
      </w:tr>
      <w:tr w:rsidR="00DF147D" w:rsidRPr="00A7547F" w14:paraId="43D034B0"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1F6CD2C"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Marco Constitucional</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429F0E6"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En revisión; AN 2015 activa como referente</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80B47D9"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Disputas de legitimidad institucional</w:t>
            </w:r>
          </w:p>
        </w:tc>
      </w:tr>
      <w:tr w:rsidR="00DF147D" w:rsidRPr="00A7547F" w14:paraId="37E6335D"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5820A26"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Cronograma Electoral</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8CC0EDA"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Elecciones presidenciales previstas 2027-2028</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76279C5"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Fragmentación opositora, acuerdos parciales</w:t>
            </w:r>
          </w:p>
        </w:tc>
      </w:tr>
      <w:tr w:rsidR="00DF147D" w:rsidRPr="00CB4A49" w14:paraId="05420DE2"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54D447D"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Control Territorial</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04930BF"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FANB reformista + milicias locales activas</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2DFF837"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Zonas grises Apure, Bolívar, Amazonas</w:t>
            </w:r>
          </w:p>
        </w:tc>
      </w:tr>
      <w:tr w:rsidR="00DF147D" w:rsidRPr="00A7547F" w14:paraId="653DBD10"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21B378B"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Relaciones EE.UU.</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92EC248"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Normalizadas; acuerdo energético operativo</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1E04EDA"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Condicionalidad política pendiente</w:t>
            </w:r>
          </w:p>
        </w:tc>
      </w:tr>
      <w:tr w:rsidR="00DF147D" w:rsidRPr="00CB4A49" w14:paraId="0D443C73"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C8AEDAD"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Deuda Externa</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8CCB7AD"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En reestructuración; &gt;$150B pasivos totales</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0AF39AB"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China: acreedor principal (&gt;$60B estimados)</w:t>
            </w:r>
          </w:p>
        </w:tc>
      </w:tr>
      <w:tr w:rsidR="00DF147D" w:rsidRPr="00A7547F" w14:paraId="7A075E3A"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DCFCDD7"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Medios y DDHH</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8185E36"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Apertura parcial; persisten restricciones</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9E324CB"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Presión de organizaciones internacionales</w:t>
            </w:r>
          </w:p>
        </w:tc>
      </w:tr>
    </w:tbl>
    <w:p w14:paraId="07B6D926" w14:textId="77777777" w:rsidR="00DF147D" w:rsidRPr="00FF37C1" w:rsidRDefault="00DF147D" w:rsidP="00A7547F">
      <w:pPr>
        <w:ind w:right="-90"/>
        <w:jc w:val="both"/>
        <w:rPr>
          <w:rFonts w:ascii="Abadi" w:hAnsi="Abadi"/>
          <w:sz w:val="24"/>
          <w:szCs w:val="24"/>
        </w:rPr>
      </w:pPr>
    </w:p>
    <w:p w14:paraId="0CB546DF"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La oposición venezolana ha convocado marchas nacionales para exigir elecciones presidenciales en 2027, mientras los negociadores del gobierno de transición han planteado un cronograma de 12-18 meses para el diseño del nuevo marco electoral. Las fuentes de mayor credibilidad analítica (Crisis Group, Human Rights Watch, WOLA) señalan que el riesgo de un "empantanamiento" —una transición sin elecciones definidas ni institucionalización— es el escenario más probable a corto plazo.</w:t>
      </w:r>
    </w:p>
    <w:p w14:paraId="216C981B" w14:textId="77777777" w:rsidR="00A7547F" w:rsidRDefault="00A7547F" w:rsidP="00A7547F">
      <w:pPr>
        <w:ind w:right="-90" w:firstLine="720"/>
        <w:jc w:val="both"/>
        <w:rPr>
          <w:rFonts w:ascii="Abadi" w:eastAsia="Calibri" w:hAnsi="Abadi" w:cs="Calibri"/>
          <w:color w:val="1A1A1A"/>
          <w:sz w:val="24"/>
          <w:szCs w:val="24"/>
          <w:lang w:val="es-ES"/>
        </w:rPr>
      </w:pPr>
    </w:p>
    <w:p w14:paraId="5E13F509"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2.4  El Regreso de María Corina Machado y la Aceleración de la Transición (25/10/2026)</w:t>
      </w:r>
    </w:p>
    <w:p w14:paraId="0471A69C" w14:textId="77777777" w:rsidR="00CB4A49" w:rsidRDefault="00CB4A49" w:rsidP="00A7547F">
      <w:pPr>
        <w:ind w:right="-90" w:firstLine="720"/>
        <w:jc w:val="both"/>
        <w:rPr>
          <w:rFonts w:ascii="Abadi" w:eastAsia="Calibri" w:hAnsi="Abadi" w:cs="Calibri"/>
          <w:color w:val="1A1A1A"/>
          <w:sz w:val="24"/>
          <w:szCs w:val="24"/>
          <w:lang w:val="es-ES"/>
        </w:rPr>
      </w:pPr>
    </w:p>
    <w:p w14:paraId="3EAC4112" w14:textId="22E348EE"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 xml:space="preserve">El 25 de octubre de 2026 —fecha que pasará a los anales de la historia política venezolana contemporánea— María Corina Machado regresó a Venezuela tras diez meses de exilio forzado. Su retorno fue confirmado mediante una publicación en X (ex Twitter): "Estoy aquí. Con ustedes", acompañada de imágenes que la sitúan en la iglesia de Santa Rosa, en Barquisimeto, estado Lara. Este retorno cierra un ciclo de siete intentos fallidos de regreso entre junio y septiembre de 2026, </w:t>
      </w:r>
      <w:r>
        <w:rPr>
          <w:rFonts w:ascii="Abadi" w:eastAsia="Calibri" w:hAnsi="Abadi" w:cs="Calibri"/>
          <w:color w:val="1A1A1A"/>
          <w:sz w:val="24"/>
          <w:szCs w:val="24"/>
          <w:lang w:val="es-ES"/>
        </w:rPr>
        <w:lastRenderedPageBreak/>
        <w:t>bloqueados sistemáticamente por el régimen de Maduro mediante intimidación y obstrucción en puertos aéreos, marítimos y terrestres del país.</w:t>
      </w:r>
    </w:p>
    <w:p w14:paraId="10D53EA5" w14:textId="77777777" w:rsidR="00CB4A49" w:rsidRDefault="00CB4A49" w:rsidP="00A7547F">
      <w:pPr>
        <w:ind w:right="-90" w:firstLine="720"/>
        <w:jc w:val="both"/>
        <w:rPr>
          <w:rFonts w:ascii="Abadi" w:eastAsia="Calibri" w:hAnsi="Abadi" w:cs="Calibri"/>
          <w:color w:val="1A1A1A"/>
          <w:sz w:val="24"/>
          <w:szCs w:val="24"/>
          <w:lang w:val="es-ES"/>
        </w:rPr>
      </w:pPr>
    </w:p>
    <w:p w14:paraId="71493178"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b/>
          <w:bCs/>
          <w:color w:val="1A1A1A"/>
          <w:sz w:val="24"/>
          <w:szCs w:val="24"/>
          <w:lang w:val="es-ES"/>
        </w:rPr>
        <w:t xml:space="preserve">Exilio Clandestino y Salida de Venezuela. </w:t>
      </w:r>
      <w:r>
        <w:rPr>
          <w:rFonts w:ascii="Abadi" w:eastAsia="Calibri" w:hAnsi="Abadi" w:cs="Calibri"/>
          <w:color w:val="1A1A1A"/>
          <w:sz w:val="24"/>
          <w:szCs w:val="24"/>
          <w:lang w:val="es-ES"/>
        </w:rPr>
        <w:t>La partida del país en diciembre de 2025 fue una operación de alto riesgo personal: Machado abandonó Venezuela disfrazada, en un viaje por carretera de diez horas hasta la costa del estado Falcón, donde cruzó el Mar Caribe en una embarcación de madera de condiciones precarias hacia Curaçao, en medio de un mar agitado. En esa travesía sufrió una fractura vertebral que requirió atención médica especializada en el exterior. Ante la negativa del régimen de renovarle el pasaporte —un instrumento deliberado de control migratorio y presión política— Panamá le expidió un documento de viaje especial que le permitió operar internacionalmente desde el exilio.</w:t>
      </w:r>
    </w:p>
    <w:p w14:paraId="6DD50484" w14:textId="77777777" w:rsidR="00CB4A49" w:rsidRDefault="00CB4A49" w:rsidP="00A7547F">
      <w:pPr>
        <w:ind w:right="-90" w:firstLine="720"/>
        <w:jc w:val="both"/>
        <w:rPr>
          <w:rFonts w:ascii="Abadi" w:eastAsia="Calibri" w:hAnsi="Abadi" w:cs="Calibri"/>
          <w:color w:val="1A1A1A"/>
          <w:sz w:val="24"/>
          <w:szCs w:val="24"/>
          <w:lang w:val="es-ES"/>
        </w:rPr>
      </w:pPr>
    </w:p>
    <w:p w14:paraId="1FFBB1F2"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b/>
          <w:bCs/>
          <w:color w:val="1A1A1A"/>
          <w:sz w:val="24"/>
          <w:szCs w:val="24"/>
          <w:lang w:val="es-ES"/>
        </w:rPr>
        <w:t xml:space="preserve">Washington Respalda el Regreso de Forma Explícita e Inequívoca. </w:t>
      </w:r>
      <w:r>
        <w:rPr>
          <w:rFonts w:ascii="Abadi" w:eastAsia="Calibri" w:hAnsi="Abadi" w:cs="Calibri"/>
          <w:color w:val="1A1A1A"/>
          <w:sz w:val="24"/>
          <w:szCs w:val="24"/>
          <w:lang w:val="es-ES"/>
        </w:rPr>
        <w:t>El Secretario de Estado de los EE.UU., Marco Rubio, calificó el retorno de Machado como "resultado directo de las conversaciones de reconciliación" impulsadas y garantizadas por la administración Trump. Rubio confirmó que desde el inicio de las negociaciones han sido liberados más de 1.000 presos políticos venezolanos, incluyendo 177 en las rondas más recientes. El presidente Donald Trump se pronunció esperando que Machado esté bien y segura, describiéndola como "una mujer muy agradable". La Embajada de los EE.UU. ya opera con pleno contingente de personal en Caracas —señal inequívoca del compromiso permanente de Washington con el proceso de transición democrática.</w:t>
      </w:r>
    </w:p>
    <w:p w14:paraId="4CC3602D" w14:textId="77777777" w:rsidR="00CB4A49" w:rsidRDefault="00CB4A49" w:rsidP="00A7547F">
      <w:pPr>
        <w:ind w:right="-90" w:firstLine="720"/>
        <w:jc w:val="both"/>
        <w:rPr>
          <w:rFonts w:ascii="Abadi" w:eastAsia="Calibri" w:hAnsi="Abadi" w:cs="Calibri"/>
          <w:color w:val="1A1A1A"/>
          <w:sz w:val="24"/>
          <w:szCs w:val="24"/>
          <w:lang w:val="es-ES"/>
        </w:rPr>
      </w:pPr>
    </w:p>
    <w:p w14:paraId="15E65361"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El regreso de Machado se inscribe en el Plan de Tres Fases diseñado por la administración Trump para Venezuela: (1) distensión política y liberación masiva de presos políticos; (2) reformas electorales e institucionales profundas; (3) elecciones libres, transparentes y verificables internacionalmente. Su presencia física en territorio venezolano acelera decisivamente la segunda fase: las próximas rondas de negociación, programadas del 11 al 15 de noviembre de 2026, serán las primeras en que la líder opositora participe desde Venezuela. La agenda incluye la reforma integral del Consejo Nacional Electoral (CNE), la derogación de las leyes represivas más emblemáticas del chavismo y la apertura efectiva del espacio político a todas las fuerzas del país.</w:t>
      </w:r>
    </w:p>
    <w:p w14:paraId="7DA6B3FE" w14:textId="77777777" w:rsidR="00CB4A49" w:rsidRDefault="00CB4A49" w:rsidP="00A7547F">
      <w:pPr>
        <w:ind w:right="-90" w:firstLine="720"/>
        <w:jc w:val="both"/>
        <w:rPr>
          <w:rFonts w:ascii="Abadi" w:eastAsia="Calibri" w:hAnsi="Abadi" w:cs="Calibri"/>
          <w:color w:val="1A1A1A"/>
          <w:sz w:val="24"/>
          <w:szCs w:val="24"/>
          <w:lang w:val="es-ES"/>
        </w:rPr>
      </w:pPr>
    </w:p>
    <w:p w14:paraId="40196823"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b/>
          <w:bCs/>
          <w:color w:val="1A1A1A"/>
          <w:sz w:val="24"/>
          <w:szCs w:val="24"/>
          <w:lang w:val="es-ES"/>
        </w:rPr>
        <w:t xml:space="preserve">Señales Económicas Vinculadas al Proceso Político. </w:t>
      </w:r>
      <w:r>
        <w:rPr>
          <w:rFonts w:ascii="Abadi" w:eastAsia="Calibri" w:hAnsi="Abadi" w:cs="Calibri"/>
          <w:color w:val="1A1A1A"/>
          <w:sz w:val="24"/>
          <w:szCs w:val="24"/>
          <w:lang w:val="es-ES"/>
        </w:rPr>
        <w:t>En paralelo al regreso de Machado, el Departamento del Tesoro de EE.UU. removió a Venezuela de la lista de restricciones de inversión saliente, y el 14 de octubre de 2026 levantó las sanciones sobre Jorge Rodríguez, presidente de la Asamblea Nacional y figura pivote en las negociaciones del lado oficialista. Estas decisiones constituyen incentivos materiales y verificables, diseñados para sostener el momentum negociador y demostrar que Washington honra sus compromisos cuando el régimen respeta los hitos acordados. El mensaje es inequívoco: avance político genera beneficios económicos concretos y medibles.</w:t>
      </w:r>
    </w:p>
    <w:p w14:paraId="588E2FA2" w14:textId="77777777" w:rsidR="00CB4A49" w:rsidRDefault="00CB4A49" w:rsidP="00A7547F">
      <w:pPr>
        <w:ind w:right="-90" w:firstLine="720"/>
        <w:jc w:val="both"/>
        <w:rPr>
          <w:rFonts w:ascii="Abadi" w:eastAsia="Calibri" w:hAnsi="Abadi" w:cs="Calibri"/>
          <w:color w:val="1A1A1A"/>
          <w:sz w:val="24"/>
          <w:szCs w:val="24"/>
          <w:lang w:val="es-ES"/>
        </w:rPr>
      </w:pPr>
    </w:p>
    <w:p w14:paraId="29BCCD86"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La Plataforma Unitaria Democrática señaló que el retorno de Machado debe insuflar un impulso renovado y decisivo a una oposición que comenzaba a evidenciar fracturas internas producto del prolongado proceso negociador. Edmundo González Urrutia, reconocido como presidente electo por múltiples gobiernos democráticos y quien ejerce ese rol desde el exilio, expresó estar "entusiasmado y esperanzado por avanzar juntos en el camino hacia la libertad de Venezuela". La confluencia entre la lideresa de mayor capital político del país y el candidato ganador en las urnas del 28-J representa la mayor fortaleza negociadora de la oposición desde el fraude electoral de 2024.</w:t>
      </w:r>
    </w:p>
    <w:p w14:paraId="4B255A1B" w14:textId="77777777" w:rsidR="00A7547F" w:rsidRDefault="00A7547F" w:rsidP="00A7547F">
      <w:pPr>
        <w:ind w:right="-90" w:firstLine="720"/>
        <w:jc w:val="both"/>
        <w:rPr>
          <w:rFonts w:ascii="Abadi" w:eastAsia="Calibri" w:hAnsi="Abadi" w:cs="Calibri"/>
          <w:color w:val="1A1A1A"/>
          <w:sz w:val="24"/>
          <w:szCs w:val="24"/>
          <w:lang w:val="es-ES"/>
        </w:rPr>
      </w:pPr>
    </w:p>
    <w:tbl>
      <w:tblPr>
        <w:tblW w:w="10170" w:type="dxa"/>
        <w:tblCellMar>
          <w:top w:w="55" w:type="dxa"/>
          <w:bottom w:w="55" w:type="dxa"/>
        </w:tblCellMar>
        <w:tblLook w:val="04A0" w:firstRow="1" w:lastRow="0" w:firstColumn="1" w:lastColumn="0" w:noHBand="0" w:noVBand="1"/>
      </w:tblPr>
      <w:tblGrid>
        <w:gridCol w:w="10170"/>
      </w:tblGrid>
      <w:tr w:rsidR="002C5564" w:rsidRPr="00CB4A49" w14:paraId="470B150D" w14:textId="77777777" w:rsidTr="00CB4A49">
        <w:tc>
          <w:tcPr>
            <w:tcW w:w="10170" w:type="dxa"/>
            <w:shd w:val="clear" w:color="auto" w:fill="D9D9D9"/>
          </w:tcPr>
          <w:p w14:paraId="72FEA223" w14:textId="77777777" w:rsidR="00DF147D" w:rsidRDefault="00000000" w:rsidP="00A7547F">
            <w:pPr>
              <w:jc w:val="both"/>
              <w:rPr>
                <w:rFonts w:ascii="Abadi" w:hAnsi="Abadi"/>
                <w:b/>
                <w:bCs/>
                <w:color w:val="1A1A1A"/>
                <w:lang w:val="es-ES"/>
              </w:rPr>
            </w:pPr>
            <w:r>
              <w:rPr>
                <w:rFonts w:ascii="Abadi" w:hAnsi="Abadi"/>
                <w:b/>
                <w:bCs/>
                <w:color w:val="1A1A1A"/>
                <w:lang w:val="es-ES"/>
              </w:rPr>
              <w:t xml:space="preserve">  EVALUACION ESTRATEGICA — Impacto del Regreso de MCM (25/10/2026)</w:t>
            </w:r>
          </w:p>
          <w:p w14:paraId="1A286CE4" w14:textId="77777777" w:rsidR="00CB4A49" w:rsidRDefault="00CB4A49" w:rsidP="00A7547F">
            <w:pPr>
              <w:jc w:val="both"/>
              <w:rPr>
                <w:rFonts w:ascii="Abadi" w:hAnsi="Abadi"/>
                <w:b/>
                <w:bCs/>
                <w:color w:val="1A1A1A"/>
                <w:lang w:val="es-ES"/>
              </w:rPr>
            </w:pPr>
          </w:p>
          <w:p w14:paraId="2D9EFADF" w14:textId="77777777" w:rsidR="00DF147D" w:rsidRDefault="00000000" w:rsidP="00A7547F">
            <w:pPr>
              <w:jc w:val="both"/>
              <w:rPr>
                <w:rFonts w:ascii="Abadi" w:hAnsi="Abadi"/>
                <w:color w:val="1A1A1A"/>
                <w:lang w:val="es-ES"/>
              </w:rPr>
            </w:pPr>
            <w:r>
              <w:rPr>
                <w:rFonts w:ascii="Abadi" w:hAnsi="Abadi"/>
                <w:color w:val="1A1A1A"/>
                <w:lang w:val="es-ES"/>
              </w:rPr>
              <w:t xml:space="preserve">El retorno de María Corina Machado a Venezuela es el catalizador político más significativo desde el fraude del 28-J. Su presencia en territorio nacional eleva los costos de cualquier involución autoritaria, incrementa la cohesión opositora y fortalece la posición negociadora de la PUD. El respaldo explícito de la administración Trump —sanciones levantadas, presos liberados, embajada plena en Caracas— convierte el proceso en un compromiso político de alto </w:t>
            </w:r>
            <w:r>
              <w:rPr>
                <w:rFonts w:ascii="Abadi" w:hAnsi="Abadi"/>
                <w:color w:val="1A1A1A"/>
                <w:lang w:val="es-ES"/>
              </w:rPr>
              <w:lastRenderedPageBreak/>
              <w:t>valor para ambas partes. El período noviembre–diciembre 2026 es la ventana crítica para consolidar reformas electorales. Para el inversionista estratégico: la probabilidad de transición democrática verificable antes de mediados de 2027 ha aumentado sustancialmente. RIESGO RESIDUAL: el régimen mantiene capacidad de obstrucción táctica; velocidad final depende de cohesión del bloque chavista ante presiones internas crecientes.</w:t>
            </w:r>
          </w:p>
        </w:tc>
      </w:tr>
    </w:tbl>
    <w:p w14:paraId="0F337DF9" w14:textId="77777777" w:rsidR="00A7547F" w:rsidRDefault="00A7547F" w:rsidP="00A7547F">
      <w:pPr>
        <w:ind w:right="-90" w:firstLine="720"/>
        <w:jc w:val="both"/>
        <w:rPr>
          <w:rFonts w:ascii="Abadi" w:eastAsia="Calibri" w:hAnsi="Abadi" w:cs="Calibri"/>
          <w:color w:val="1A1A1A"/>
          <w:sz w:val="24"/>
          <w:szCs w:val="24"/>
          <w:lang w:val="es-ES"/>
        </w:rPr>
      </w:pPr>
    </w:p>
    <w:p w14:paraId="457482A9" w14:textId="77777777" w:rsidR="00DF147D" w:rsidRDefault="00000000" w:rsidP="00A7547F">
      <w:pPr>
        <w:ind w:right="-90"/>
        <w:jc w:val="both"/>
        <w:rPr>
          <w:rFonts w:ascii="Abadi" w:hAnsi="Abadi"/>
          <w:i/>
          <w:iCs/>
          <w:color w:val="595959"/>
          <w:sz w:val="18"/>
          <w:szCs w:val="18"/>
          <w:lang w:val="es-ES"/>
        </w:rPr>
      </w:pPr>
      <w:r>
        <w:rPr>
          <w:rFonts w:ascii="Abadi" w:hAnsi="Abadi"/>
          <w:i/>
          <w:iCs/>
          <w:color w:val="595959"/>
          <w:sz w:val="18"/>
          <w:szCs w:val="18"/>
          <w:lang w:val="es-ES"/>
        </w:rPr>
        <w:t>Fuentes: Marco Rubio, declaraciones 25/10/2026 (Depto. de Estado EE.UU.); Donald Trump, declaraciones a medios 25/10/2026; X @MariaCorinaYA 25/10/2026; PUD comunicado 25/10/2026; Dpto. del Tesoro EE.UU., nota de prensa 14/10/2026; Dpto. de Estado EE.UU., comunicado 23/10/2026 ("resultados concretos de las negociaciones").</w:t>
      </w:r>
    </w:p>
    <w:p w14:paraId="21C578FE" w14:textId="77777777" w:rsidR="00A7547F" w:rsidRDefault="00A7547F" w:rsidP="00A7547F">
      <w:pPr>
        <w:ind w:right="-90" w:firstLine="720"/>
        <w:jc w:val="both"/>
        <w:rPr>
          <w:rFonts w:ascii="Abadi" w:eastAsia="Calibri" w:hAnsi="Abadi" w:cs="Calibri"/>
          <w:color w:val="1A1A1A"/>
          <w:sz w:val="24"/>
          <w:szCs w:val="24"/>
          <w:lang w:val="es-ES"/>
        </w:rPr>
      </w:pPr>
    </w:p>
    <w:p w14:paraId="2FBF7BD2" w14:textId="77777777" w:rsidR="00A7547F" w:rsidRPr="00FF37C1" w:rsidRDefault="00A7547F" w:rsidP="00A7547F">
      <w:pPr>
        <w:ind w:right="-90" w:firstLine="720"/>
        <w:jc w:val="both"/>
        <w:rPr>
          <w:rFonts w:ascii="Abadi" w:hAnsi="Abadi"/>
          <w:sz w:val="24"/>
          <w:szCs w:val="24"/>
          <w:lang w:val="es-ES"/>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CB4A49" w14:paraId="2BC95FD4" w14:textId="77777777" w:rsidTr="00A7547F">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5FFDEF12" w14:textId="77777777" w:rsidR="00DF147D" w:rsidRPr="00FF37C1" w:rsidRDefault="00000000" w:rsidP="00A7547F">
            <w:pPr>
              <w:ind w:right="-90"/>
              <w:jc w:val="both"/>
              <w:rPr>
                <w:rFonts w:ascii="Abadi" w:hAnsi="Abadi"/>
                <w:sz w:val="24"/>
                <w:szCs w:val="24"/>
                <w:lang w:val="es-ES"/>
              </w:rPr>
            </w:pPr>
            <w:r>
              <w:rPr>
                <w:rFonts w:ascii="Abadi" w:eastAsia="Calibri" w:hAnsi="Abadi" w:cs="Calibri"/>
                <w:b/>
                <w:bCs/>
                <w:color w:val="FFFFFF"/>
                <w:sz w:val="24"/>
                <w:szCs w:val="24"/>
                <w:lang w:val="es-ES"/>
              </w:rPr>
              <w:t>3.  SECTOR PETROLERO: RECUPERACIÓN Y DESAFÍOS ESTRUCTURALES</w:t>
            </w:r>
          </w:p>
        </w:tc>
      </w:tr>
    </w:tbl>
    <w:p w14:paraId="676E1D22" w14:textId="77777777" w:rsidR="00A7547F" w:rsidRDefault="00A7547F" w:rsidP="00A7547F">
      <w:pPr>
        <w:pBdr>
          <w:bottom w:val="single" w:sz="6" w:space="0" w:color="CC0000"/>
        </w:pBdr>
        <w:ind w:right="-90"/>
        <w:jc w:val="both"/>
        <w:rPr>
          <w:rFonts w:ascii="Abadi" w:eastAsia="Calibri" w:hAnsi="Abadi" w:cs="Calibri"/>
          <w:b/>
          <w:bCs/>
          <w:color w:val="1A1A1A"/>
          <w:sz w:val="24"/>
          <w:szCs w:val="24"/>
          <w:lang w:val="es-ES"/>
        </w:rPr>
      </w:pPr>
    </w:p>
    <w:p w14:paraId="06608862" w14:textId="77777777" w:rsidR="00A7547F" w:rsidRDefault="00A7547F" w:rsidP="00A7547F">
      <w:pPr>
        <w:pBdr>
          <w:bottom w:val="single" w:sz="6" w:space="0" w:color="CC0000"/>
        </w:pBdr>
        <w:ind w:right="-90"/>
        <w:jc w:val="both"/>
        <w:rPr>
          <w:rFonts w:ascii="Abadi" w:eastAsia="Calibri" w:hAnsi="Abadi" w:cs="Calibri"/>
          <w:b/>
          <w:bCs/>
          <w:color w:val="1A1A1A"/>
          <w:sz w:val="24"/>
          <w:szCs w:val="24"/>
          <w:lang w:val="es-ES"/>
        </w:rPr>
      </w:pPr>
    </w:p>
    <w:p w14:paraId="405CC1B6"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3.1  Producción PDVSA: Trayectoria y Estado Actual</w:t>
      </w:r>
    </w:p>
    <w:p w14:paraId="4180401A" w14:textId="77777777" w:rsidR="00A7547F" w:rsidRDefault="00A7547F" w:rsidP="00A7547F">
      <w:pPr>
        <w:ind w:right="-90" w:firstLine="720"/>
        <w:jc w:val="both"/>
        <w:rPr>
          <w:rFonts w:ascii="Abadi" w:eastAsia="Calibri" w:hAnsi="Abadi" w:cs="Calibri"/>
          <w:color w:val="1A1A1A"/>
          <w:sz w:val="24"/>
          <w:szCs w:val="24"/>
          <w:lang w:val="es-ES"/>
        </w:rPr>
      </w:pPr>
    </w:p>
    <w:p w14:paraId="70280F3E" w14:textId="77777777" w:rsidR="00A7547F" w:rsidRDefault="00A7547F" w:rsidP="00A7547F">
      <w:pPr>
        <w:ind w:right="-90" w:firstLine="720"/>
        <w:jc w:val="both"/>
        <w:rPr>
          <w:rFonts w:ascii="Abadi" w:eastAsia="Calibri" w:hAnsi="Abadi" w:cs="Calibri"/>
          <w:color w:val="1A1A1A"/>
          <w:sz w:val="24"/>
          <w:szCs w:val="24"/>
          <w:lang w:val="es-ES"/>
        </w:rPr>
      </w:pPr>
    </w:p>
    <w:p w14:paraId="4BDDA9A5" w14:textId="77777777" w:rsidR="00A7547F"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Venezuela alcanzó su pico histórico de producción de 3.5 millones de barriles diarios (bpd) en 1998. La combinación de desinversión estructural, sanciones internacionales, fuga de capital humano técnico y corrupción sistémica redujo la producción a un mínimo de aproximadamente 400,000 bpd en 2020. La recuperación comenzó en 2021 y se ha acelerado significativamente desde 2023 con la reactivación de operaciones de empresas internacionales bajo licencias especiales del OFAC.</w:t>
      </w:r>
    </w:p>
    <w:p w14:paraId="5AF7FEA4" w14:textId="77777777" w:rsidR="00A7547F" w:rsidRDefault="00A7547F" w:rsidP="00BD03AE">
      <w:pPr>
        <w:ind w:right="-90"/>
        <w:jc w:val="both"/>
        <w:rPr>
          <w:rFonts w:ascii="Abadi" w:eastAsia="Calibri" w:hAnsi="Abadi" w:cs="Calibri"/>
          <w:color w:val="1A1A1A"/>
          <w:sz w:val="24"/>
          <w:szCs w:val="24"/>
          <w:lang w:val="es-ES"/>
        </w:rPr>
      </w:pPr>
    </w:p>
    <w:p w14:paraId="76F0C8EB" w14:textId="77777777" w:rsidR="00A7547F" w:rsidRPr="00FF37C1" w:rsidRDefault="00A7547F" w:rsidP="00A7547F">
      <w:pPr>
        <w:ind w:right="-90" w:firstLine="720"/>
        <w:jc w:val="both"/>
        <w:rPr>
          <w:rFonts w:ascii="Abadi" w:eastAsia="Calibri" w:hAnsi="Abadi" w:cs="Calibri"/>
          <w:color w:val="1A1A1A"/>
          <w:sz w:val="24"/>
          <w:szCs w:val="24"/>
          <w:lang w:val="es-E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80"/>
        <w:gridCol w:w="2016"/>
        <w:gridCol w:w="1680"/>
        <w:gridCol w:w="4789"/>
      </w:tblGrid>
      <w:tr w:rsidR="00A7547F" w:rsidRPr="00A7547F" w14:paraId="09A00C6C" w14:textId="77777777" w:rsidTr="00A7547F">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E58DC6E" w14:textId="77777777" w:rsidR="00A7547F" w:rsidRPr="00A7547F" w:rsidRDefault="00A7547F" w:rsidP="00A7547F">
            <w:pPr>
              <w:ind w:right="-90"/>
              <w:jc w:val="center"/>
              <w:rPr>
                <w:rFonts w:ascii="Abadi" w:hAnsi="Abadi"/>
                <w:sz w:val="22"/>
                <w:szCs w:val="22"/>
                <w:lang w:val="es-ES"/>
              </w:rPr>
            </w:pPr>
            <w:r>
              <w:rPr>
                <w:rFonts w:ascii="Abadi" w:eastAsia="Calibri" w:hAnsi="Abadi" w:cs="Calibri"/>
                <w:b/>
                <w:bCs/>
                <w:color w:val="FFFFFF"/>
                <w:sz w:val="22"/>
                <w:szCs w:val="22"/>
                <w:lang w:val="es-ES"/>
              </w:rPr>
              <w:t>Año</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20D2196" w14:textId="77777777" w:rsidR="00A7547F" w:rsidRPr="00A7547F" w:rsidRDefault="00A7547F" w:rsidP="00A7547F">
            <w:pPr>
              <w:ind w:right="-90"/>
              <w:jc w:val="center"/>
              <w:rPr>
                <w:rFonts w:ascii="Abadi" w:hAnsi="Abadi"/>
                <w:sz w:val="22"/>
                <w:szCs w:val="22"/>
                <w:lang w:val="es-ES"/>
              </w:rPr>
            </w:pPr>
            <w:r>
              <w:rPr>
                <w:rFonts w:ascii="Abadi" w:eastAsia="Calibri" w:hAnsi="Abadi" w:cs="Calibri"/>
                <w:b/>
                <w:bCs/>
                <w:color w:val="FFFFFF"/>
                <w:sz w:val="22"/>
                <w:szCs w:val="22"/>
                <w:lang w:val="es-ES"/>
              </w:rPr>
              <w:t>Producción (M bpd)</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4CCE1EC1" w14:textId="77777777" w:rsidR="00A7547F" w:rsidRPr="00A7547F" w:rsidRDefault="00A7547F" w:rsidP="00A7547F">
            <w:pPr>
              <w:ind w:right="-90"/>
              <w:jc w:val="center"/>
              <w:rPr>
                <w:rFonts w:ascii="Abadi" w:hAnsi="Abadi"/>
                <w:sz w:val="22"/>
                <w:szCs w:val="22"/>
                <w:lang w:val="es-ES"/>
              </w:rPr>
            </w:pPr>
            <w:r>
              <w:rPr>
                <w:rFonts w:ascii="Abadi" w:eastAsia="Calibri" w:hAnsi="Abadi" w:cs="Calibri"/>
                <w:b/>
                <w:bCs/>
                <w:color w:val="FFFFFF"/>
                <w:sz w:val="22"/>
                <w:szCs w:val="22"/>
                <w:lang w:val="es-ES"/>
              </w:rPr>
              <w:t>Variación Anual</w:t>
            </w:r>
          </w:p>
        </w:tc>
        <w:tc>
          <w:tcPr>
            <w:tcW w:w="4789"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A7EB2DA" w14:textId="77777777" w:rsidR="00A7547F" w:rsidRPr="00A7547F" w:rsidRDefault="00A7547F" w:rsidP="00A7547F">
            <w:pPr>
              <w:ind w:right="-90"/>
              <w:jc w:val="center"/>
              <w:rPr>
                <w:rFonts w:ascii="Abadi" w:hAnsi="Abadi"/>
                <w:sz w:val="22"/>
                <w:szCs w:val="22"/>
                <w:lang w:val="es-ES"/>
              </w:rPr>
            </w:pPr>
            <w:r>
              <w:rPr>
                <w:rFonts w:ascii="Abadi" w:eastAsia="Calibri" w:hAnsi="Abadi" w:cs="Calibri"/>
                <w:b/>
                <w:bCs/>
                <w:color w:val="FFFFFF"/>
                <w:sz w:val="22"/>
                <w:szCs w:val="22"/>
                <w:lang w:val="es-ES"/>
              </w:rPr>
              <w:t>Factor Principal</w:t>
            </w:r>
          </w:p>
        </w:tc>
      </w:tr>
      <w:tr w:rsidR="00A7547F" w:rsidRPr="00A7547F" w14:paraId="01C35D91" w14:textId="77777777" w:rsidTr="00A7547F">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C0939B0"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2020</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8F70674"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~0.40</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7BF7119"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w:t>
            </w:r>
          </w:p>
        </w:tc>
        <w:tc>
          <w:tcPr>
            <w:tcW w:w="478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662A792"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Sanciones OFAC / Colapso operativo</w:t>
            </w:r>
          </w:p>
        </w:tc>
      </w:tr>
      <w:tr w:rsidR="00A7547F" w:rsidRPr="00A7547F" w14:paraId="381A7C20" w14:textId="77777777" w:rsidTr="00A7547F">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EE928C4"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2021</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1CDBDAD"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~0.65</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CF2517E"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+62%</w:t>
            </w:r>
          </w:p>
        </w:tc>
        <w:tc>
          <w:tcPr>
            <w:tcW w:w="4789"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72D18BB"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Licencias parciales EE.UU.</w:t>
            </w:r>
          </w:p>
        </w:tc>
      </w:tr>
      <w:tr w:rsidR="00A7547F" w:rsidRPr="00A7547F" w14:paraId="689D6ED5" w14:textId="77777777" w:rsidTr="00A7547F">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B18A852"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2022</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BFE43AE"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~0.72</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47747A5"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+11%</w:t>
            </w:r>
          </w:p>
        </w:tc>
        <w:tc>
          <w:tcPr>
            <w:tcW w:w="478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F04722F"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Empresas mixtas reactivadas</w:t>
            </w:r>
          </w:p>
        </w:tc>
      </w:tr>
      <w:tr w:rsidR="00A7547F" w:rsidRPr="00A7547F" w14:paraId="4ACA0926" w14:textId="77777777" w:rsidTr="00A7547F">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AB1C1A9"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2023</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05F59E6"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~0.88</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5087671"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+22%</w:t>
            </w:r>
          </w:p>
        </w:tc>
        <w:tc>
          <w:tcPr>
            <w:tcW w:w="4789"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0B49522"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Chevron GL-41 operativo</w:t>
            </w:r>
          </w:p>
        </w:tc>
      </w:tr>
      <w:tr w:rsidR="00A7547F" w:rsidRPr="00A7547F" w14:paraId="174EAFE8" w14:textId="77777777" w:rsidTr="00A7547F">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3CDE1CD"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2024</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C5C5DFF"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~1.03</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E8EE864"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+17.6%</w:t>
            </w:r>
          </w:p>
        </w:tc>
        <w:tc>
          <w:tcPr>
            <w:tcW w:w="478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B75F542"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Expansión joint ventures</w:t>
            </w:r>
          </w:p>
        </w:tc>
      </w:tr>
      <w:tr w:rsidR="00A7547F" w:rsidRPr="00CB4A49" w14:paraId="40F6F5FB" w14:textId="77777777" w:rsidTr="00A7547F">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0BF2355"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2025</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FBB5BBA"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~1.10</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1BAE555"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+7%</w:t>
            </w:r>
          </w:p>
        </w:tc>
        <w:tc>
          <w:tcPr>
            <w:tcW w:w="4789"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9FCC3FA"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Acuerdo energético EE.UU.-Venezuela</w:t>
            </w:r>
          </w:p>
        </w:tc>
      </w:tr>
      <w:tr w:rsidR="00A7547F" w:rsidRPr="00CB4A49" w14:paraId="6052817D" w14:textId="77777777" w:rsidTr="00A7547F">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D4785CF"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2026 (</w:t>
            </w:r>
            <w:proofErr w:type="spellStart"/>
            <w:r>
              <w:rPr>
                <w:rFonts w:ascii="Abadi" w:eastAsia="Calibri" w:hAnsi="Abadi" w:cs="Calibri"/>
                <w:color w:val="1A1A1A"/>
                <w:sz w:val="22"/>
                <w:szCs w:val="22"/>
                <w:lang w:val="es-ES"/>
              </w:rPr>
              <w:t>proy</w:t>
            </w:r>
            <w:proofErr w:type="spellEnd"/>
            <w:r>
              <w:rPr>
                <w:rFonts w:ascii="Abadi" w:eastAsia="Calibri" w:hAnsi="Abadi" w:cs="Calibri"/>
                <w:color w:val="1A1A1A"/>
                <w:sz w:val="22"/>
                <w:szCs w:val="22"/>
                <w:lang w:val="es-ES"/>
              </w:rPr>
              <w:t>.)</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BE5380F"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~1.30-1.50</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3A45378"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+18-36%</w:t>
            </w:r>
          </w:p>
        </w:tc>
        <w:tc>
          <w:tcPr>
            <w:tcW w:w="478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222E908" w14:textId="77777777" w:rsidR="00A7547F" w:rsidRPr="00A7547F" w:rsidRDefault="00A7547F" w:rsidP="00A7547F">
            <w:pPr>
              <w:ind w:right="-90"/>
              <w:jc w:val="center"/>
              <w:rPr>
                <w:rFonts w:ascii="Abadi" w:hAnsi="Abadi"/>
                <w:sz w:val="22"/>
                <w:szCs w:val="22"/>
                <w:lang w:val="es-ES"/>
              </w:rPr>
            </w:pPr>
            <w:r>
              <w:rPr>
                <w:rFonts w:ascii="Abadi" w:eastAsia="Calibri" w:hAnsi="Abadi" w:cs="Calibri"/>
                <w:color w:val="1A1A1A"/>
                <w:sz w:val="22"/>
                <w:szCs w:val="22"/>
                <w:lang w:val="es-ES"/>
              </w:rPr>
              <w:t>Inversión Chevron $7B, nuevas áreas Carabobo</w:t>
            </w:r>
          </w:p>
        </w:tc>
      </w:tr>
    </w:tbl>
    <w:p w14:paraId="583E9158" w14:textId="77777777" w:rsidR="00A7547F" w:rsidRPr="00FF37C1" w:rsidRDefault="00A7547F" w:rsidP="00A7547F">
      <w:pPr>
        <w:ind w:right="-90" w:firstLine="720"/>
        <w:jc w:val="both"/>
        <w:rPr>
          <w:rFonts w:ascii="Abadi" w:hAnsi="Abadi"/>
          <w:sz w:val="24"/>
          <w:szCs w:val="24"/>
          <w:lang w:val="es-ES"/>
        </w:rPr>
      </w:pPr>
    </w:p>
    <w:p w14:paraId="735ABD40" w14:textId="77777777" w:rsidR="00DF147D" w:rsidRPr="00A7547F" w:rsidRDefault="00000000" w:rsidP="00A7547F">
      <w:pPr>
        <w:ind w:right="-90"/>
        <w:jc w:val="both"/>
        <w:rPr>
          <w:rFonts w:ascii="Abadi" w:hAnsi="Abadi"/>
          <w:b/>
          <w:bCs/>
          <w:lang w:val="es-ES"/>
        </w:rPr>
      </w:pPr>
      <w:r>
        <w:rPr>
          <w:rFonts w:ascii="Abadi" w:eastAsia="Calibri" w:hAnsi="Abadi" w:cs="Calibri"/>
          <w:b/>
          <w:bCs/>
          <w:i/>
          <w:iCs/>
          <w:lang w:val="es-ES"/>
        </w:rPr>
        <w:t>Fuentes: OPEP Annual Statistical Bulletin 2024; Infobae/EFE (ene. 2025); Venezuela afianza recuperación petrolera 2025 (observatorio.gob.ve); Finanzas Digital, 2025.</w:t>
      </w:r>
    </w:p>
    <w:p w14:paraId="7B1B29BF" w14:textId="77777777" w:rsidR="00A7547F" w:rsidRDefault="00A7547F" w:rsidP="00A7547F">
      <w:pPr>
        <w:ind w:right="-90" w:firstLine="720"/>
        <w:jc w:val="both"/>
        <w:rPr>
          <w:rFonts w:ascii="Abadi" w:eastAsia="Calibri" w:hAnsi="Abadi" w:cs="Calibri"/>
          <w:color w:val="1A1A1A"/>
          <w:sz w:val="24"/>
          <w:szCs w:val="24"/>
          <w:lang w:val="es-ES"/>
        </w:rPr>
      </w:pPr>
    </w:p>
    <w:p w14:paraId="12A3D0CF" w14:textId="77777777" w:rsidR="00BD03AE" w:rsidRDefault="00000000" w:rsidP="00BD03AE">
      <w:pPr>
        <w:ind w:right="-90"/>
        <w:jc w:val="both"/>
        <w:rPr>
          <w:rFonts w:ascii="Abadi" w:eastAsia="Calibri" w:hAnsi="Abadi" w:cs="Calibri"/>
          <w:b/>
          <w:bCs/>
          <w:color w:val="1A1A1A"/>
          <w:sz w:val="24"/>
          <w:szCs w:val="24"/>
          <w:lang w:val="es-ES"/>
        </w:rPr>
      </w:pPr>
      <w:r>
        <w:rPr>
          <w:rFonts w:ascii="Abadi" w:eastAsia="Calibri" w:hAnsi="Abadi" w:cs="Calibri"/>
          <w:b/>
          <w:bCs/>
          <w:color w:val="1A1A1A"/>
          <w:sz w:val="24"/>
          <w:szCs w:val="24"/>
          <w:lang w:val="es-ES"/>
        </w:rPr>
        <w:t xml:space="preserve">Actualización Q3 2026: Producción Supera 1,2 Millones de bpd. </w:t>
      </w:r>
    </w:p>
    <w:p w14:paraId="395BF3F8" w14:textId="77777777" w:rsidR="00BD03AE" w:rsidRDefault="00BD03AE" w:rsidP="00BD03AE">
      <w:pPr>
        <w:ind w:right="-90"/>
        <w:jc w:val="both"/>
        <w:rPr>
          <w:rFonts w:ascii="Abadi" w:eastAsia="Calibri" w:hAnsi="Abadi" w:cs="Calibri"/>
          <w:b/>
          <w:bCs/>
          <w:color w:val="1A1A1A"/>
          <w:sz w:val="24"/>
          <w:szCs w:val="24"/>
          <w:lang w:val="es-ES"/>
        </w:rPr>
      </w:pPr>
    </w:p>
    <w:p w14:paraId="5C1D7AFF" w14:textId="318E40E2" w:rsidR="00DF147D" w:rsidRDefault="00000000" w:rsidP="00BD03AE">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Datos del tercer trimestre de 2026 confirman que PDVSA ha mantenido la producción sostenidamente por encima de 1,2 millones de barriles diarios (bpd), registrando un crecimiento del 8% respecto al mismo período de 2025. Venezuela ha suscrito 61 acuerdos bilaterales vigentes para la explotación de crudo y gas, con 44 proyectos adicionales en negociación avanzada. Las reformas a la Ley de Hidrocarburos aprobadas en 2026 permiten modelos contractuales más flexibles, eliminando barreras históricas a la inversión privada extranjera. El Secretario de Energía de los EE.UU. proyectó un incremento adicional de producción del 40% durante 2026 bajo el escenario de cooperación energética bilateral plena, lo que situaría a Venezuela cerca de 1,5 millones de bpd al cierre del año.</w:t>
      </w:r>
    </w:p>
    <w:p w14:paraId="5B178B00" w14:textId="77777777" w:rsidR="00BD03AE" w:rsidRDefault="00BD03AE" w:rsidP="00A7547F">
      <w:pPr>
        <w:ind w:right="-90" w:firstLine="720"/>
        <w:jc w:val="both"/>
        <w:rPr>
          <w:rFonts w:ascii="Abadi" w:eastAsia="Calibri" w:hAnsi="Abadi" w:cs="Calibri"/>
          <w:color w:val="1A1A1A"/>
          <w:sz w:val="24"/>
          <w:szCs w:val="24"/>
          <w:lang w:val="es-ES"/>
        </w:rPr>
      </w:pPr>
    </w:p>
    <w:p w14:paraId="72047727" w14:textId="77777777" w:rsidR="00DF147D" w:rsidRPr="00BD03AE" w:rsidRDefault="00000000" w:rsidP="00A7547F">
      <w:pPr>
        <w:ind w:right="-90"/>
        <w:jc w:val="both"/>
        <w:rPr>
          <w:rFonts w:ascii="Abadi" w:hAnsi="Abadi"/>
          <w:b/>
          <w:bCs/>
          <w:i/>
          <w:iCs/>
          <w:sz w:val="18"/>
          <w:szCs w:val="18"/>
          <w:lang w:val="es-ES"/>
        </w:rPr>
      </w:pPr>
      <w:r w:rsidRPr="00BD03AE">
        <w:rPr>
          <w:rFonts w:ascii="Abadi" w:hAnsi="Abadi"/>
          <w:b/>
          <w:bCs/>
          <w:i/>
          <w:iCs/>
          <w:sz w:val="18"/>
          <w:szCs w:val="18"/>
          <w:lang w:val="es-ES"/>
        </w:rPr>
        <w:lastRenderedPageBreak/>
        <w:t>Fuentes: PDVSA Informe Operacional Q3-2026; Reuters Energy Desk octubre 2026; Secretaría de Energía EE.UU., proyecciones Q3-2026.</w:t>
      </w:r>
    </w:p>
    <w:p w14:paraId="305C104D" w14:textId="77777777" w:rsidR="00DF147D" w:rsidRPr="00FF37C1" w:rsidRDefault="00DF147D" w:rsidP="00A7547F">
      <w:pPr>
        <w:ind w:right="-90"/>
        <w:jc w:val="both"/>
        <w:rPr>
          <w:rFonts w:ascii="Abadi" w:hAnsi="Abadi"/>
          <w:sz w:val="24"/>
          <w:szCs w:val="24"/>
          <w:lang w:val="es-ES"/>
        </w:rPr>
      </w:pPr>
    </w:p>
    <w:p w14:paraId="56EA1AA2" w14:textId="77777777" w:rsidR="00A7547F" w:rsidRDefault="00A7547F" w:rsidP="00A7547F">
      <w:pPr>
        <w:pBdr>
          <w:bottom w:val="single" w:sz="6" w:space="0" w:color="CC0000"/>
        </w:pBdr>
        <w:ind w:right="-90"/>
        <w:jc w:val="both"/>
        <w:rPr>
          <w:rFonts w:ascii="Abadi" w:eastAsia="Calibri" w:hAnsi="Abadi" w:cs="Calibri"/>
          <w:b/>
          <w:bCs/>
          <w:color w:val="1A1A1A"/>
          <w:sz w:val="24"/>
          <w:szCs w:val="24"/>
          <w:lang w:val="es-ES"/>
        </w:rPr>
      </w:pPr>
    </w:p>
    <w:p w14:paraId="6E0CAFAF"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3.2  Operaciones Chevron: El Eje del Acuerdo Energético</w:t>
      </w:r>
    </w:p>
    <w:p w14:paraId="77BCCFEC" w14:textId="77777777" w:rsidR="00A7547F" w:rsidRDefault="00A7547F" w:rsidP="00A7547F">
      <w:pPr>
        <w:ind w:right="-90" w:firstLine="720"/>
        <w:jc w:val="both"/>
        <w:rPr>
          <w:rFonts w:ascii="Abadi" w:eastAsia="Calibri" w:hAnsi="Abadi" w:cs="Calibri"/>
          <w:color w:val="1A1A1A"/>
          <w:sz w:val="24"/>
          <w:szCs w:val="24"/>
          <w:lang w:val="es-ES"/>
        </w:rPr>
      </w:pPr>
    </w:p>
    <w:p w14:paraId="21817A9C"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En 2024-2025, Chevron Corporation opera en Venezuela bajo la Licencia General 41 del Departamento del Tesoro de los EE.UU. (OFAC), produciendo aproximadamente 310,000 bpd a través de sus joint ventures con PDVSA, principalmente en el Cinturón del Orinoco. Este volumen representa aproximadamente el 30% de la producción nacional venezolana.</w:t>
      </w:r>
    </w:p>
    <w:p w14:paraId="7F497F78" w14:textId="77777777" w:rsidR="00A7547F" w:rsidRPr="00FF37C1" w:rsidRDefault="00A7547F" w:rsidP="00A7547F">
      <w:pPr>
        <w:ind w:right="-90" w:firstLine="720"/>
        <w:jc w:val="both"/>
        <w:rPr>
          <w:rFonts w:ascii="Abadi" w:hAnsi="Abadi"/>
          <w:sz w:val="24"/>
          <w:szCs w:val="24"/>
          <w:lang w:val="es-ES"/>
        </w:rPr>
      </w:pPr>
    </w:p>
    <w:p w14:paraId="41AC25C4"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En septiembre de 2026, días después de la firma del acuerdo energético entre Washington y Caracas, Chevron anunció la expansión de sus operaciones venezolanas con una inversión comprometida de USD $7,000 millones en un horizonte de cinco años, con el objetivo de doblar su producción actual hasta 600,000 bpd. Esta expansión incluye la incorporación de dos nuevas áreas en la región de Carabobo y la modernización de instalaciones de upgrading del crudo extrapesado.</w:t>
      </w:r>
    </w:p>
    <w:p w14:paraId="04319DC2" w14:textId="77777777" w:rsidR="00A7547F" w:rsidRPr="00FF37C1" w:rsidRDefault="00A7547F" w:rsidP="00A7547F">
      <w:pPr>
        <w:ind w:right="-90" w:firstLine="720"/>
        <w:jc w:val="both"/>
        <w:rPr>
          <w:rFonts w:ascii="Abadi" w:hAnsi="Abadi"/>
          <w:sz w:val="24"/>
          <w:szCs w:val="24"/>
          <w:lang w:val="es-E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60"/>
        <w:gridCol w:w="3360"/>
        <w:gridCol w:w="3445"/>
      </w:tblGrid>
      <w:tr w:rsidR="00DF147D" w:rsidRPr="00A7547F" w14:paraId="18237609" w14:textId="77777777" w:rsidTr="00A7547F">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E7DCEE0"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Parámetro</w:t>
            </w:r>
          </w:p>
        </w:tc>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B765871"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Estado Actual (2025-2026)</w:t>
            </w:r>
          </w:p>
        </w:tc>
        <w:tc>
          <w:tcPr>
            <w:tcW w:w="3445"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462BC4A3"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Meta 5 Años</w:t>
            </w:r>
          </w:p>
        </w:tc>
      </w:tr>
      <w:tr w:rsidR="00DF147D" w:rsidRPr="00A7547F" w14:paraId="18760968"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374026D"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Producción Chevron</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48DCA31"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~310,000 bpd</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E92954A"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600,000 bpd</w:t>
            </w:r>
          </w:p>
        </w:tc>
      </w:tr>
      <w:tr w:rsidR="00DF147D" w:rsidRPr="00A7547F" w14:paraId="25BCEAC8"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353A63D"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Inversión comprometida</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B1D2244"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Operaciones existentes</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7B855B5"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USD $7,000 millones</w:t>
            </w:r>
          </w:p>
        </w:tc>
      </w:tr>
      <w:tr w:rsidR="00DF147D" w:rsidRPr="00A7547F" w14:paraId="622BA47E"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B87AEF4"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Costo de lifting</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F4FBE99"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&lt;$20/bbl (reportado)</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14FEC5E"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&lt;$20/bbl (estimado)</w:t>
            </w:r>
          </w:p>
        </w:tc>
      </w:tr>
      <w:tr w:rsidR="00DF147D" w:rsidRPr="00A7547F" w14:paraId="777A6259"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F526784"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Joint ventures</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75A0273"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Petroindependencia + otros</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31CEB44"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+ 2 nuevas áreas Carabobo</w:t>
            </w:r>
          </w:p>
        </w:tc>
      </w:tr>
      <w:tr w:rsidR="00DF147D" w:rsidRPr="00A7547F" w14:paraId="4AD77689" w14:textId="77777777" w:rsidTr="00A7547F">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D1BD796"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Destino del crudo</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02A54A9"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Refinerías EE.UU. (Costa del Golfo)</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2FE8F98"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EE.UU. + reservas estratégicas</w:t>
            </w:r>
          </w:p>
        </w:tc>
      </w:tr>
    </w:tbl>
    <w:p w14:paraId="46EB4813" w14:textId="77777777" w:rsidR="00DF147D" w:rsidRPr="00A7547F" w:rsidRDefault="00000000" w:rsidP="00A7547F">
      <w:pPr>
        <w:ind w:right="-90"/>
        <w:jc w:val="both"/>
        <w:rPr>
          <w:rFonts w:ascii="Abadi" w:hAnsi="Abadi"/>
          <w:b/>
          <w:bCs/>
        </w:rPr>
      </w:pPr>
      <w:r>
        <w:rPr>
          <w:rFonts w:ascii="Abadi" w:eastAsia="Calibri" w:hAnsi="Abadi" w:cs="Calibri"/>
          <w:b/>
          <w:bCs/>
          <w:i/>
          <w:iCs/>
        </w:rPr>
        <w:t>Fuentes: Khaleej Times (sep. 2026); NPR (sep. 2026); OilNow (2025).</w:t>
      </w:r>
    </w:p>
    <w:p w14:paraId="4B38E6BB" w14:textId="77777777" w:rsidR="00DF147D" w:rsidRPr="00FF37C1" w:rsidRDefault="00DF147D" w:rsidP="00A7547F">
      <w:pPr>
        <w:ind w:right="-90"/>
        <w:jc w:val="both"/>
        <w:rPr>
          <w:rFonts w:ascii="Abadi" w:hAnsi="Abadi"/>
          <w:sz w:val="24"/>
          <w:szCs w:val="24"/>
        </w:rPr>
      </w:pPr>
    </w:p>
    <w:p w14:paraId="60F86800" w14:textId="77777777" w:rsidR="00A7547F" w:rsidRPr="00A7547F" w:rsidRDefault="00A7547F" w:rsidP="00A7547F">
      <w:pPr>
        <w:pBdr>
          <w:bottom w:val="single" w:sz="6" w:space="0" w:color="CC0000"/>
        </w:pBdr>
        <w:ind w:right="-90"/>
        <w:jc w:val="both"/>
        <w:rPr>
          <w:rFonts w:ascii="Abadi" w:eastAsia="Calibri" w:hAnsi="Abadi" w:cs="Calibri"/>
          <w:b/>
          <w:bCs/>
          <w:color w:val="1A1A1A"/>
          <w:sz w:val="24"/>
          <w:szCs w:val="24"/>
        </w:rPr>
      </w:pPr>
    </w:p>
    <w:p w14:paraId="34BAC090"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3.3  Posición Competitiva y Flujos de Exportación</w:t>
      </w:r>
    </w:p>
    <w:p w14:paraId="7B7A11C0" w14:textId="77777777" w:rsidR="00A7547F" w:rsidRDefault="00A7547F" w:rsidP="00A7547F">
      <w:pPr>
        <w:ind w:right="-90" w:firstLine="720"/>
        <w:jc w:val="both"/>
        <w:rPr>
          <w:rFonts w:ascii="Abadi" w:eastAsia="Calibri" w:hAnsi="Abadi" w:cs="Calibri"/>
          <w:color w:val="1A1A1A"/>
          <w:sz w:val="24"/>
          <w:szCs w:val="24"/>
          <w:lang w:val="es-ES"/>
        </w:rPr>
      </w:pPr>
    </w:p>
    <w:p w14:paraId="1507F0DB"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La EIA y Reuters reportan que las importaciones estadounidenses de crudo venezolano en 2025 rondan los 300,000-400,000 bpd bajo la licencia vigente de Chevron. En 2026, Venezuela se posicionó como segundo proveedor de crudo a los EE.UU. durante 18 semanas consecutivas (Río Times Online, sep. 2026), reflejando el incremento sostenido del volumen de operaciones bajo el acuerdo.</w:t>
      </w:r>
    </w:p>
    <w:p w14:paraId="6CAFD002" w14:textId="77777777" w:rsidR="00A7547F" w:rsidRPr="00FF37C1" w:rsidRDefault="00A7547F" w:rsidP="00A7547F">
      <w:pPr>
        <w:ind w:right="-90" w:firstLine="720"/>
        <w:jc w:val="both"/>
        <w:rPr>
          <w:rFonts w:ascii="Abadi" w:hAnsi="Abadi"/>
          <w:sz w:val="24"/>
          <w:szCs w:val="24"/>
          <w:lang w:val="es-E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16"/>
        <w:gridCol w:w="2016"/>
        <w:gridCol w:w="2016"/>
        <w:gridCol w:w="2016"/>
        <w:gridCol w:w="2101"/>
      </w:tblGrid>
      <w:tr w:rsidR="00DF147D" w:rsidRPr="00A7547F" w14:paraId="682FF7EE" w14:textId="77777777" w:rsidTr="00A7547F">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2FCBBD63"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Productor</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62D3EBB"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Costo Extracción (USD/bbl)</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0CC5584"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Break-even (USD/bbl)</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9F96AAA"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Distancia a EE.UU.</w:t>
            </w:r>
          </w:p>
        </w:tc>
        <w:tc>
          <w:tcPr>
            <w:tcW w:w="2101"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07DE110" w14:textId="77777777" w:rsidR="00DF147D" w:rsidRPr="00A7547F" w:rsidRDefault="00000000" w:rsidP="00A7547F">
            <w:pPr>
              <w:ind w:right="-90"/>
              <w:jc w:val="center"/>
              <w:rPr>
                <w:rFonts w:ascii="Abadi" w:hAnsi="Abadi"/>
                <w:sz w:val="22"/>
                <w:szCs w:val="22"/>
                <w:lang w:val="es-ES"/>
              </w:rPr>
            </w:pPr>
            <w:r>
              <w:rPr>
                <w:rFonts w:ascii="Abadi" w:eastAsia="Calibri" w:hAnsi="Abadi" w:cs="Calibri"/>
                <w:b/>
                <w:bCs/>
                <w:color w:val="FFFFFF"/>
                <w:sz w:val="22"/>
                <w:szCs w:val="22"/>
                <w:lang w:val="es-ES"/>
              </w:rPr>
              <w:t>API</w:t>
            </w:r>
          </w:p>
        </w:tc>
      </w:tr>
      <w:tr w:rsidR="00DF147D" w:rsidRPr="00A7547F" w14:paraId="62721AE6" w14:textId="77777777" w:rsidTr="00A7547F">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3474C7E"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Venezuela (Orinoco)</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14E27E2"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~$20-26</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E5CE617"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~$55-80*</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CF3C3CA"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5 días (Este)</w:t>
            </w:r>
          </w:p>
        </w:tc>
        <w:tc>
          <w:tcPr>
            <w:tcW w:w="2101"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EAB0881"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8-12°</w:t>
            </w:r>
          </w:p>
        </w:tc>
      </w:tr>
      <w:tr w:rsidR="00DF147D" w:rsidRPr="00A7547F" w14:paraId="2377887A" w14:textId="77777777" w:rsidTr="00A7547F">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E7EC1D2"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Canadá (Oil Sands)</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FDE6E14"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~$55-65</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331D879"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~$60-70</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A4A6050"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3-5 días (oleoducto)</w:t>
            </w:r>
          </w:p>
        </w:tc>
        <w:tc>
          <w:tcPr>
            <w:tcW w:w="2101"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25DCC68"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&lt;10°</w:t>
            </w:r>
          </w:p>
        </w:tc>
      </w:tr>
      <w:tr w:rsidR="00DF147D" w:rsidRPr="00A7547F" w14:paraId="50245449" w14:textId="77777777" w:rsidTr="00A7547F">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BBB69DE"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EE.UU. (Permian Basin)</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FD9304F"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~$50-60</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A1F0530"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~$57-65</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316EF02"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Doméstico</w:t>
            </w:r>
          </w:p>
        </w:tc>
        <w:tc>
          <w:tcPr>
            <w:tcW w:w="2101"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1DC0122"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40-45°</w:t>
            </w:r>
          </w:p>
        </w:tc>
      </w:tr>
      <w:tr w:rsidR="00DF147D" w:rsidRPr="00A7547F" w14:paraId="61AE9E89" w14:textId="77777777" w:rsidTr="00A7547F">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CC253AE"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Arabia Saudita (Aramco)</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61107E9"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&lt;$10</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6695D59"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~$65-70 (fiscal)</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32EE1CC"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45 días (Golfo)</w:t>
            </w:r>
          </w:p>
        </w:tc>
        <w:tc>
          <w:tcPr>
            <w:tcW w:w="2101"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8990702" w14:textId="77777777" w:rsidR="00DF147D" w:rsidRPr="00A7547F" w:rsidRDefault="00000000" w:rsidP="00A7547F">
            <w:pPr>
              <w:ind w:right="-90"/>
              <w:jc w:val="center"/>
              <w:rPr>
                <w:rFonts w:ascii="Abadi" w:hAnsi="Abadi"/>
                <w:sz w:val="22"/>
                <w:szCs w:val="22"/>
                <w:lang w:val="es-ES"/>
              </w:rPr>
            </w:pPr>
            <w:r>
              <w:rPr>
                <w:rFonts w:ascii="Abadi" w:eastAsia="Calibri" w:hAnsi="Abadi" w:cs="Calibri"/>
                <w:color w:val="1A1A1A"/>
                <w:sz w:val="22"/>
                <w:szCs w:val="22"/>
                <w:lang w:val="es-ES"/>
              </w:rPr>
              <w:t>32-40°</w:t>
            </w:r>
          </w:p>
        </w:tc>
      </w:tr>
    </w:tbl>
    <w:p w14:paraId="0304D134" w14:textId="77777777" w:rsidR="00DF147D" w:rsidRPr="00A7547F" w:rsidRDefault="00000000" w:rsidP="00A7547F">
      <w:pPr>
        <w:ind w:right="-90"/>
        <w:jc w:val="both"/>
        <w:rPr>
          <w:rFonts w:ascii="Abadi" w:hAnsi="Abadi"/>
          <w:b/>
          <w:bCs/>
          <w:lang w:val="es-ES"/>
        </w:rPr>
      </w:pPr>
      <w:r>
        <w:rPr>
          <w:rFonts w:ascii="Abadi" w:eastAsia="Calibri" w:hAnsi="Abadi" w:cs="Calibri"/>
          <w:b/>
          <w:bCs/>
          <w:i/>
          <w:iCs/>
          <w:lang w:val="es-ES"/>
        </w:rPr>
        <w:t>*El break-even venezolano incluye costos de upgrading del crudo extrapesado. Fuente: BloombergNEF; Rystad Energy; OilPrice.com.</w:t>
      </w:r>
    </w:p>
    <w:p w14:paraId="6ADA6CCA" w14:textId="77777777" w:rsidR="00DF147D" w:rsidRPr="00A7547F" w:rsidRDefault="00DF147D" w:rsidP="00A7547F">
      <w:pPr>
        <w:ind w:right="-90"/>
        <w:jc w:val="both"/>
        <w:rPr>
          <w:rFonts w:ascii="Abadi" w:hAnsi="Abadi"/>
          <w:sz w:val="24"/>
          <w:szCs w:val="24"/>
          <w:lang w:val="es-ES"/>
        </w:rPr>
      </w:pPr>
    </w:p>
    <w:tbl>
      <w:tblPr>
        <w:tblW w:w="1017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CB4A49" w14:paraId="1CF3329B" w14:textId="77777777" w:rsidTr="0018255F">
        <w:tc>
          <w:tcPr>
            <w:tcW w:w="10170" w:type="dxa"/>
            <w:tcBorders>
              <w:top w:val="none" w:sz="0" w:space="0" w:color="FFFFFF"/>
              <w:left w:val="none" w:sz="0" w:space="0" w:color="FFFFFF"/>
              <w:bottom w:val="none" w:sz="0" w:space="0" w:color="FFFFFF"/>
              <w:right w:val="none" w:sz="0" w:space="0" w:color="FFFFFF"/>
            </w:tcBorders>
            <w:shd w:val="clear" w:color="auto" w:fill="E8E8E8"/>
            <w:tcMar>
              <w:top w:w="80" w:type="dxa"/>
              <w:left w:w="160" w:type="dxa"/>
              <w:bottom w:w="80" w:type="dxa"/>
              <w:right w:w="160" w:type="dxa"/>
            </w:tcMar>
          </w:tcPr>
          <w:p w14:paraId="588C645D" w14:textId="77777777" w:rsidR="00DF147D" w:rsidRPr="00FF37C1" w:rsidRDefault="00000000" w:rsidP="00A7547F">
            <w:pPr>
              <w:ind w:right="-90"/>
              <w:jc w:val="both"/>
              <w:rPr>
                <w:rFonts w:ascii="Abadi" w:hAnsi="Abadi"/>
                <w:sz w:val="24"/>
                <w:szCs w:val="24"/>
                <w:lang w:val="es-ES"/>
              </w:rPr>
            </w:pPr>
            <w:r>
              <w:rPr>
                <w:rFonts w:ascii="Segoe UI Symbol" w:eastAsia="Calibri" w:hAnsi="Segoe UI Symbol" w:cs="Segoe UI Symbol"/>
                <w:b/>
                <w:bCs/>
                <w:color w:val="CC0000"/>
                <w:sz w:val="24"/>
                <w:szCs w:val="24"/>
                <w:lang w:val="es-ES"/>
              </w:rPr>
              <w:t>⚠</w:t>
            </w:r>
            <w:r>
              <w:rPr>
                <w:rFonts w:ascii="Abadi" w:eastAsia="Calibri" w:hAnsi="Abadi" w:cs="Calibri"/>
                <w:b/>
                <w:bCs/>
                <w:color w:val="CC0000"/>
                <w:sz w:val="24"/>
                <w:szCs w:val="24"/>
                <w:lang w:val="es-ES"/>
              </w:rPr>
              <w:t xml:space="preserve"> </w:t>
            </w:r>
            <w:r>
              <w:rPr>
                <w:rFonts w:ascii="Abadi" w:eastAsia="Calibri" w:hAnsi="Abadi" w:cs="Calibri"/>
                <w:b/>
                <w:bCs/>
                <w:color w:val="1A1A1A"/>
                <w:sz w:val="24"/>
                <w:szCs w:val="24"/>
                <w:lang w:val="es-ES"/>
              </w:rPr>
              <w:t>EVALUACIÓN CRÍTICA — ANALISIS: SECTOR PETROLERO</w:t>
            </w:r>
          </w:p>
        </w:tc>
      </w:tr>
      <w:tr w:rsidR="00DF147D" w:rsidRPr="00CB4A49" w14:paraId="5C698880" w14:textId="77777777" w:rsidTr="0018255F">
        <w:tc>
          <w:tcPr>
            <w:tcW w:w="1017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38E93096" w14:textId="77777777" w:rsidR="0018255F" w:rsidRPr="0018255F" w:rsidRDefault="0018255F" w:rsidP="0018255F">
            <w:pPr>
              <w:pStyle w:val="Prrafodelista"/>
              <w:ind w:left="720" w:right="-90"/>
              <w:jc w:val="both"/>
              <w:rPr>
                <w:rFonts w:ascii="Abadi" w:eastAsia="Calibri" w:hAnsi="Abadi" w:cs="Calibri"/>
                <w:color w:val="1A1A1A"/>
                <w:sz w:val="24"/>
                <w:szCs w:val="24"/>
                <w:lang w:val="es-ES"/>
              </w:rPr>
            </w:pPr>
          </w:p>
          <w:p w14:paraId="64F9C0E2" w14:textId="77777777" w:rsidR="00DF147D" w:rsidRPr="0018255F" w:rsidRDefault="00000000" w:rsidP="0018255F">
            <w:pPr>
              <w:pStyle w:val="Prrafodelista"/>
              <w:numPr>
                <w:ilvl w:val="0"/>
                <w:numId w:val="3"/>
              </w:numPr>
              <w:ind w:right="-90"/>
              <w:jc w:val="both"/>
              <w:rPr>
                <w:rFonts w:ascii="Abadi" w:hAnsi="Abadi"/>
                <w:sz w:val="24"/>
                <w:szCs w:val="24"/>
                <w:lang w:val="es-ES"/>
              </w:rPr>
            </w:pPr>
            <w:r>
              <w:rPr>
                <w:rFonts w:ascii="Abadi" w:eastAsia="Calibri" w:hAnsi="Abadi" w:cs="Calibri"/>
                <w:color w:val="1A1A1A"/>
                <w:sz w:val="24"/>
                <w:szCs w:val="24"/>
                <w:lang w:val="es-ES"/>
              </w:rPr>
              <w:lastRenderedPageBreak/>
              <w:t>La recuperación es real y documentada, pero sigue siendo altamente dependiente de Chevron bajo licencia OFAC. Una reversión de política exterior estadounidense podría reducir la producción en 25-30% en un período de 6-12 meses.</w:t>
            </w:r>
          </w:p>
        </w:tc>
      </w:tr>
      <w:tr w:rsidR="00DF147D" w:rsidRPr="00CB4A49" w14:paraId="26C90FEF" w14:textId="77777777" w:rsidTr="0018255F">
        <w:tc>
          <w:tcPr>
            <w:tcW w:w="1017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57A66DA4" w14:textId="77777777" w:rsidR="00DF147D" w:rsidRPr="0018255F" w:rsidRDefault="00000000" w:rsidP="0018255F">
            <w:pPr>
              <w:pStyle w:val="Prrafodelista"/>
              <w:numPr>
                <w:ilvl w:val="0"/>
                <w:numId w:val="3"/>
              </w:numPr>
              <w:ind w:right="-90"/>
              <w:jc w:val="both"/>
              <w:rPr>
                <w:rFonts w:ascii="Abadi" w:hAnsi="Abadi"/>
                <w:sz w:val="24"/>
                <w:szCs w:val="24"/>
                <w:lang w:val="es-ES"/>
              </w:rPr>
            </w:pPr>
            <w:r>
              <w:rPr>
                <w:rFonts w:ascii="Abadi" w:eastAsia="Calibri" w:hAnsi="Abadi" w:cs="Calibri"/>
                <w:color w:val="1A1A1A"/>
                <w:sz w:val="24"/>
                <w:szCs w:val="24"/>
                <w:lang w:val="es-ES"/>
              </w:rPr>
              <w:lastRenderedPageBreak/>
              <w:t>Las cifras de producción reportadas por el gobierno venezolano frecuentemente superan las verificadas por la OPEP y fuentes independientes. El análisis debe basarse en los datos de la OPEP y de tankers tracking (Kpler, Vortexa).</w:t>
            </w:r>
          </w:p>
        </w:tc>
      </w:tr>
      <w:tr w:rsidR="00DF147D" w:rsidRPr="00CB4A49" w14:paraId="492B1E00" w14:textId="77777777" w:rsidTr="0018255F">
        <w:tc>
          <w:tcPr>
            <w:tcW w:w="1017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0A75181F" w14:textId="77777777" w:rsidR="00DF147D" w:rsidRPr="0018255F" w:rsidRDefault="00000000" w:rsidP="0018255F">
            <w:pPr>
              <w:pStyle w:val="Prrafodelista"/>
              <w:numPr>
                <w:ilvl w:val="0"/>
                <w:numId w:val="3"/>
              </w:numPr>
              <w:ind w:right="-90"/>
              <w:jc w:val="both"/>
              <w:rPr>
                <w:rFonts w:ascii="Abadi" w:hAnsi="Abadi"/>
                <w:sz w:val="24"/>
                <w:szCs w:val="24"/>
                <w:lang w:val="es-ES"/>
              </w:rPr>
            </w:pPr>
            <w:r>
              <w:rPr>
                <w:rFonts w:ascii="Abadi" w:eastAsia="Calibri" w:hAnsi="Abadi" w:cs="Calibri"/>
                <w:color w:val="1A1A1A"/>
                <w:sz w:val="24"/>
                <w:szCs w:val="24"/>
                <w:lang w:val="es-ES"/>
              </w:rPr>
              <w:t>La capacidad de refinación doméstica permanece muy deteriorada. El Palito (210,000 bpd de capacidad instalada) opera al 30-40% de su capacidad, limitando el valor agregado interno del crudo producido.</w:t>
            </w:r>
          </w:p>
        </w:tc>
      </w:tr>
      <w:tr w:rsidR="00DF147D" w:rsidRPr="00CB4A49" w14:paraId="58A2AB2E" w14:textId="77777777" w:rsidTr="0018255F">
        <w:tc>
          <w:tcPr>
            <w:tcW w:w="1017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162ABD72" w14:textId="77777777" w:rsidR="00DF147D" w:rsidRPr="0018255F" w:rsidRDefault="00000000" w:rsidP="0018255F">
            <w:pPr>
              <w:pStyle w:val="Prrafodelista"/>
              <w:numPr>
                <w:ilvl w:val="0"/>
                <w:numId w:val="3"/>
              </w:numPr>
              <w:ind w:right="-90"/>
              <w:jc w:val="both"/>
              <w:rPr>
                <w:rFonts w:ascii="Abadi" w:hAnsi="Abadi"/>
                <w:sz w:val="24"/>
                <w:szCs w:val="24"/>
                <w:lang w:val="es-ES"/>
              </w:rPr>
            </w:pPr>
            <w:r>
              <w:rPr>
                <w:rFonts w:ascii="Abadi" w:eastAsia="Calibri" w:hAnsi="Abadi" w:cs="Calibri"/>
                <w:color w:val="1A1A1A"/>
                <w:sz w:val="24"/>
                <w:szCs w:val="24"/>
                <w:lang w:val="es-ES"/>
              </w:rPr>
              <w:t>PDVSA requiere una reestructuración corporativa y de deuda profunda. Los pasivos estimados superan los $60B, limitando la capacidad de atracción de capital de riesgo directo sin garantías internacionales.</w:t>
            </w:r>
          </w:p>
          <w:p w14:paraId="00B270EC" w14:textId="77777777" w:rsidR="0018255F" w:rsidRPr="0018255F" w:rsidRDefault="0018255F" w:rsidP="0018255F">
            <w:pPr>
              <w:pStyle w:val="Prrafodelista"/>
              <w:ind w:left="720" w:right="-90"/>
              <w:jc w:val="both"/>
              <w:rPr>
                <w:rFonts w:ascii="Abadi" w:hAnsi="Abadi"/>
                <w:sz w:val="24"/>
                <w:szCs w:val="24"/>
                <w:lang w:val="es-ES"/>
              </w:rPr>
            </w:pPr>
          </w:p>
        </w:tc>
      </w:tr>
    </w:tbl>
    <w:p w14:paraId="738DEC4F" w14:textId="77777777" w:rsidR="00DF147D" w:rsidRPr="00FF37C1" w:rsidRDefault="00DF147D" w:rsidP="00A7547F">
      <w:pPr>
        <w:ind w:right="-90"/>
        <w:jc w:val="both"/>
        <w:rPr>
          <w:rFonts w:ascii="Abadi" w:hAnsi="Abadi"/>
          <w:sz w:val="24"/>
          <w:szCs w:val="24"/>
          <w:lang w:val="es-ES"/>
        </w:rPr>
      </w:pPr>
    </w:p>
    <w:tbl>
      <w:tblPr>
        <w:tblW w:w="1008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CB4A49" w14:paraId="37E2E241" w14:textId="77777777">
        <w:tc>
          <w:tcPr>
            <w:tcW w:w="1008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26AF8DE2" w14:textId="77777777" w:rsidR="00DF147D" w:rsidRPr="00FF37C1" w:rsidRDefault="00000000" w:rsidP="00A7547F">
            <w:pPr>
              <w:ind w:right="-90"/>
              <w:jc w:val="both"/>
              <w:rPr>
                <w:rFonts w:ascii="Abadi" w:hAnsi="Abadi"/>
                <w:sz w:val="24"/>
                <w:szCs w:val="24"/>
                <w:lang w:val="es-ES"/>
              </w:rPr>
            </w:pPr>
            <w:r>
              <w:rPr>
                <w:rFonts w:ascii="Abadi" w:eastAsia="Calibri" w:hAnsi="Abadi" w:cs="Calibri"/>
                <w:b/>
                <w:bCs/>
                <w:color w:val="FFFFFF"/>
                <w:sz w:val="24"/>
                <w:szCs w:val="24"/>
                <w:lang w:val="es-ES"/>
              </w:rPr>
              <w:t>4.  SECTOR GAS NATURAL: EL POTENCIAL DURMIENTE</w:t>
            </w:r>
          </w:p>
        </w:tc>
      </w:tr>
    </w:tbl>
    <w:p w14:paraId="160EB893" w14:textId="77777777" w:rsidR="0018255F" w:rsidRDefault="0018255F" w:rsidP="00A7547F">
      <w:pPr>
        <w:pBdr>
          <w:bottom w:val="single" w:sz="6" w:space="0" w:color="CC0000"/>
        </w:pBdr>
        <w:ind w:right="-90"/>
        <w:jc w:val="both"/>
        <w:rPr>
          <w:rFonts w:ascii="Abadi" w:eastAsia="Calibri" w:hAnsi="Abadi" w:cs="Calibri"/>
          <w:b/>
          <w:bCs/>
          <w:color w:val="1A1A1A"/>
          <w:sz w:val="24"/>
          <w:szCs w:val="24"/>
          <w:lang w:val="es-ES"/>
        </w:rPr>
      </w:pPr>
    </w:p>
    <w:p w14:paraId="4DCB9487"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4.1  Reservas y Posición Global</w:t>
      </w:r>
    </w:p>
    <w:p w14:paraId="160DD091" w14:textId="77777777" w:rsidR="0018255F" w:rsidRDefault="0018255F" w:rsidP="00A7547F">
      <w:pPr>
        <w:ind w:right="-90" w:firstLine="720"/>
        <w:jc w:val="both"/>
        <w:rPr>
          <w:rFonts w:ascii="Abadi" w:eastAsia="Calibri" w:hAnsi="Abadi" w:cs="Calibri"/>
          <w:color w:val="1A1A1A"/>
          <w:sz w:val="24"/>
          <w:szCs w:val="24"/>
          <w:lang w:val="es-ES"/>
        </w:rPr>
      </w:pPr>
    </w:p>
    <w:p w14:paraId="2B071621"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Venezuela posee las octavas reservas probadas de gas natural a nivel mundial, con aproximadamente 195 billones de pies cúbicos (Tcf), según la OPEP. Sin embargo, a diferencia del petróleo, el sector gasífero venezolano permanece largamente subdesarrollado, con la mayor parte del gas producido siendo gas asociado al petróleo que es reinyectado o —en el peor caso— quemado en antorcha (flaring), generando importantes pérdidas económicas y ambientales.</w:t>
      </w:r>
    </w:p>
    <w:p w14:paraId="49E8C675" w14:textId="77777777" w:rsidR="0018255F" w:rsidRPr="00FF37C1" w:rsidRDefault="0018255F" w:rsidP="00A7547F">
      <w:pPr>
        <w:ind w:right="-90" w:firstLine="720"/>
        <w:jc w:val="both"/>
        <w:rPr>
          <w:rFonts w:ascii="Abadi" w:hAnsi="Abadi"/>
          <w:sz w:val="24"/>
          <w:szCs w:val="24"/>
          <w:lang w:val="es-ES"/>
        </w:rPr>
      </w:pPr>
    </w:p>
    <w:tbl>
      <w:tblPr>
        <w:tblW w:w="1008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20"/>
        <w:gridCol w:w="1680"/>
        <w:gridCol w:w="2016"/>
        <w:gridCol w:w="2016"/>
        <w:gridCol w:w="1848"/>
      </w:tblGrid>
      <w:tr w:rsidR="00DF147D" w:rsidRPr="0018255F" w14:paraId="6E7A336E" w14:textId="77777777" w:rsidTr="0018255F">
        <w:tc>
          <w:tcPr>
            <w:tcW w:w="252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2124183"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Campo / Proyecto</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167EB40"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Tipo</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AB8B39E"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Estado (2026)</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ACF9C2C"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Capacidad Potencial</w:t>
            </w:r>
          </w:p>
        </w:tc>
        <w:tc>
          <w:tcPr>
            <w:tcW w:w="1848"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9A733C8"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Socio</w:t>
            </w:r>
          </w:p>
        </w:tc>
      </w:tr>
      <w:tr w:rsidR="00DF147D" w:rsidRPr="0018255F" w14:paraId="618C55EC" w14:textId="77777777" w:rsidTr="0018255F">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113F081"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Dragón (Plataforma Continental)</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4FE7448"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Gas offshore</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0BFCBD1"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En desarrollo avanzado</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8FAECB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~200 MMscfd</w:t>
            </w:r>
          </w:p>
        </w:tc>
        <w:tc>
          <w:tcPr>
            <w:tcW w:w="184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D57EF83"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Shell / Trinidad</w:t>
            </w:r>
          </w:p>
        </w:tc>
      </w:tr>
      <w:tr w:rsidR="00DF147D" w:rsidRPr="0018255F" w14:paraId="75E76356" w14:textId="77777777" w:rsidTr="0018255F">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FC916C6"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Mariscal Sucre</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07B942E"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Gas offshore</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FF071EA"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Negociaciones activas</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64F099B"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~700 MMscfd</w:t>
            </w:r>
          </w:p>
        </w:tc>
        <w:tc>
          <w:tcPr>
            <w:tcW w:w="184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13052DB"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Shell / BP</w:t>
            </w:r>
          </w:p>
        </w:tc>
      </w:tr>
      <w:tr w:rsidR="00DF147D" w:rsidRPr="0018255F" w14:paraId="2CE6515A" w14:textId="77777777" w:rsidTr="0018255F">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8DADAE5"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Rafael Urdaneta</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F0C5863"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Gas offshore</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7A79598"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Estudio de viabilidad</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322DAF0"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No definido</w:t>
            </w:r>
          </w:p>
        </w:tc>
        <w:tc>
          <w:tcPr>
            <w:tcW w:w="184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B35E030"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ENI / PDVSA</w:t>
            </w:r>
          </w:p>
        </w:tc>
      </w:tr>
      <w:tr w:rsidR="00DF147D" w:rsidRPr="0018255F" w14:paraId="3B547CBD" w14:textId="77777777" w:rsidTr="0018255F">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ACBC13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Gas Asociado Orinoco</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5C01474"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Gas asociado</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4DD65D5"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Recuperación parcial</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C985EFE"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Variable</w:t>
            </w:r>
          </w:p>
        </w:tc>
        <w:tc>
          <w:tcPr>
            <w:tcW w:w="184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C80FC1B"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Chevron / PDVSA</w:t>
            </w:r>
          </w:p>
        </w:tc>
      </w:tr>
    </w:tbl>
    <w:p w14:paraId="33422BD6" w14:textId="77777777" w:rsidR="00DF147D" w:rsidRPr="00FF37C1" w:rsidRDefault="00DF147D" w:rsidP="00A7547F">
      <w:pPr>
        <w:ind w:right="-90"/>
        <w:jc w:val="both"/>
        <w:rPr>
          <w:rFonts w:ascii="Abadi" w:hAnsi="Abadi"/>
          <w:sz w:val="24"/>
          <w:szCs w:val="24"/>
        </w:rPr>
      </w:pPr>
    </w:p>
    <w:p w14:paraId="0C988E08" w14:textId="77777777" w:rsidR="00AA2B3C" w:rsidRDefault="00AA2B3C" w:rsidP="00A7547F">
      <w:pPr>
        <w:pBdr>
          <w:bottom w:val="single" w:sz="6" w:space="0" w:color="CC0000"/>
        </w:pBdr>
        <w:ind w:right="-90"/>
        <w:jc w:val="both"/>
        <w:rPr>
          <w:rFonts w:ascii="Abadi" w:eastAsia="Calibri" w:hAnsi="Abadi" w:cs="Calibri"/>
          <w:b/>
          <w:bCs/>
          <w:color w:val="1A1A1A"/>
          <w:sz w:val="24"/>
          <w:szCs w:val="24"/>
          <w:lang w:val="es-ES"/>
        </w:rPr>
      </w:pPr>
    </w:p>
    <w:p w14:paraId="538D81DA"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4.2  Proyecto Dragón y el Corredor Trinidad-Venezuela</w:t>
      </w:r>
    </w:p>
    <w:p w14:paraId="76BB63D4" w14:textId="77777777" w:rsidR="00AA2B3C" w:rsidRDefault="00AA2B3C" w:rsidP="00A7547F">
      <w:pPr>
        <w:ind w:right="-90" w:firstLine="720"/>
        <w:jc w:val="both"/>
        <w:rPr>
          <w:rFonts w:ascii="Abadi" w:eastAsia="Calibri" w:hAnsi="Abadi" w:cs="Calibri"/>
          <w:color w:val="1A1A1A"/>
          <w:sz w:val="24"/>
          <w:szCs w:val="24"/>
          <w:lang w:val="es-ES"/>
        </w:rPr>
      </w:pPr>
    </w:p>
    <w:p w14:paraId="0DF1C1D7"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El Proyecto Dragón, campo de gas ubicado en la plataforma continental venezolana-trinitense, representa la iniciativa más avanzada de exportación de gas venezolano. En julio de 2025, Venezuela anunció estar lista para exportar la "primera molécula de gas" bajo este esquema, con una meta de exportación para 2027 a través de un gasoducto submarino hacia las instalaciones de licuefacción de Gas de Trinidad y Tobago (Atlantic LNG).</w:t>
      </w:r>
    </w:p>
    <w:p w14:paraId="0EA61878" w14:textId="77777777" w:rsidR="0018255F" w:rsidRPr="00FF37C1" w:rsidRDefault="0018255F" w:rsidP="00A7547F">
      <w:pPr>
        <w:ind w:right="-90" w:firstLine="720"/>
        <w:jc w:val="both"/>
        <w:rPr>
          <w:rFonts w:ascii="Abadi" w:hAnsi="Abadi"/>
          <w:sz w:val="24"/>
          <w:szCs w:val="24"/>
          <w:lang w:val="es-ES"/>
        </w:rPr>
      </w:pPr>
    </w:p>
    <w:p w14:paraId="15057263"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El Departamento del Tesoro de los EE.UU. (OFAC) otorgó una licencia especial a Shell para retomar el desarrollo del campo Dragón en el contexto del acuerdo energético EE.UU.-Venezuela, tras una suspensión de varios años por las sanciones. Este acuerdo posiciona a Venezuela como potencial exportador de GNL hacia los mercados europeos en un contexto post-conflicto Rusia-Ucrania de alta demanda de fuentes alternativas.</w:t>
      </w:r>
    </w:p>
    <w:p w14:paraId="0D01FBB0" w14:textId="77777777" w:rsidR="0018255F" w:rsidRPr="00FF37C1" w:rsidRDefault="0018255F" w:rsidP="00A7547F">
      <w:pPr>
        <w:ind w:right="-90" w:firstLine="720"/>
        <w:jc w:val="both"/>
        <w:rPr>
          <w:rFonts w:ascii="Abadi" w:hAnsi="Abadi"/>
          <w:sz w:val="24"/>
          <w:szCs w:val="24"/>
          <w:lang w:val="es-ES"/>
        </w:rPr>
      </w:pPr>
    </w:p>
    <w:tbl>
      <w:tblPr>
        <w:tblW w:w="1008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CB4A49" w14:paraId="35A79D92" w14:textId="77777777">
        <w:tc>
          <w:tcPr>
            <w:tcW w:w="10080" w:type="dxa"/>
            <w:tcBorders>
              <w:top w:val="none" w:sz="0" w:space="0" w:color="FFFFFF"/>
              <w:left w:val="none" w:sz="0" w:space="0" w:color="FFFFFF"/>
              <w:bottom w:val="none" w:sz="0" w:space="0" w:color="FFFFFF"/>
              <w:right w:val="none" w:sz="0" w:space="0" w:color="FFFFFF"/>
            </w:tcBorders>
            <w:shd w:val="clear" w:color="auto" w:fill="E8E8E8"/>
            <w:tcMar>
              <w:top w:w="80" w:type="dxa"/>
              <w:left w:w="160" w:type="dxa"/>
              <w:bottom w:w="80" w:type="dxa"/>
              <w:right w:w="160" w:type="dxa"/>
            </w:tcMar>
          </w:tcPr>
          <w:p w14:paraId="20213980" w14:textId="77777777" w:rsidR="00DF147D" w:rsidRPr="00FF37C1" w:rsidRDefault="00000000" w:rsidP="00A7547F">
            <w:pPr>
              <w:ind w:right="-90"/>
              <w:jc w:val="both"/>
              <w:rPr>
                <w:rFonts w:ascii="Abadi" w:hAnsi="Abadi"/>
                <w:sz w:val="24"/>
                <w:szCs w:val="24"/>
                <w:lang w:val="es-ES"/>
              </w:rPr>
            </w:pPr>
            <w:r>
              <w:rPr>
                <w:rFonts w:ascii="Segoe UI Symbol" w:eastAsia="Calibri" w:hAnsi="Segoe UI Symbol" w:cs="Segoe UI Symbol"/>
                <w:b/>
                <w:bCs/>
                <w:color w:val="CC0000"/>
                <w:sz w:val="24"/>
                <w:szCs w:val="24"/>
                <w:lang w:val="es-ES"/>
              </w:rPr>
              <w:t>⚠</w:t>
            </w:r>
            <w:r>
              <w:rPr>
                <w:rFonts w:ascii="Abadi" w:eastAsia="Calibri" w:hAnsi="Abadi" w:cs="Calibri"/>
                <w:b/>
                <w:bCs/>
                <w:color w:val="CC0000"/>
                <w:sz w:val="24"/>
                <w:szCs w:val="24"/>
                <w:lang w:val="es-ES"/>
              </w:rPr>
              <w:t xml:space="preserve"> </w:t>
            </w:r>
            <w:r>
              <w:rPr>
                <w:rFonts w:ascii="Abadi" w:eastAsia="Calibri" w:hAnsi="Abadi" w:cs="Calibri"/>
                <w:b/>
                <w:bCs/>
                <w:color w:val="1A1A1A"/>
                <w:sz w:val="24"/>
                <w:szCs w:val="24"/>
                <w:lang w:val="es-ES"/>
              </w:rPr>
              <w:t xml:space="preserve">OPORTUNIDAD ESTRATÉGICA: GAS VENEZOLANO </w:t>
            </w:r>
            <w:r>
              <w:rPr>
                <w:rFonts w:ascii="Arial" w:eastAsia="Calibri" w:hAnsi="Arial" w:cs="Arial"/>
                <w:b/>
                <w:bCs/>
                <w:color w:val="1A1A1A"/>
                <w:sz w:val="24"/>
                <w:szCs w:val="24"/>
                <w:lang w:val="es-ES"/>
              </w:rPr>
              <w:t>→</w:t>
            </w:r>
            <w:r>
              <w:rPr>
                <w:rFonts w:ascii="Abadi" w:eastAsia="Calibri" w:hAnsi="Abadi" w:cs="Calibri"/>
                <w:b/>
                <w:bCs/>
                <w:color w:val="1A1A1A"/>
                <w:sz w:val="24"/>
                <w:szCs w:val="24"/>
                <w:lang w:val="es-ES"/>
              </w:rPr>
              <w:t xml:space="preserve"> EUROPA</w:t>
            </w:r>
          </w:p>
        </w:tc>
      </w:tr>
      <w:tr w:rsidR="00DF147D" w:rsidRPr="00CB4A49" w14:paraId="1AB01067"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7A54BB1C" w14:textId="77777777" w:rsidR="0018255F" w:rsidRPr="0018255F" w:rsidRDefault="0018255F" w:rsidP="0018255F">
            <w:pPr>
              <w:pStyle w:val="Prrafodelista"/>
              <w:ind w:left="720" w:right="-90"/>
              <w:jc w:val="both"/>
              <w:rPr>
                <w:rFonts w:ascii="Abadi" w:eastAsia="Calibri" w:hAnsi="Abadi" w:cs="Calibri"/>
                <w:color w:val="1A1A1A"/>
                <w:sz w:val="24"/>
                <w:szCs w:val="24"/>
                <w:lang w:val="es-ES"/>
              </w:rPr>
            </w:pPr>
          </w:p>
          <w:p w14:paraId="1F9B0F8B" w14:textId="77777777" w:rsidR="00DF147D" w:rsidRPr="0018255F" w:rsidRDefault="00000000" w:rsidP="0018255F">
            <w:pPr>
              <w:pStyle w:val="Prrafodelista"/>
              <w:numPr>
                <w:ilvl w:val="0"/>
                <w:numId w:val="4"/>
              </w:numPr>
              <w:ind w:right="-90"/>
              <w:jc w:val="both"/>
              <w:rPr>
                <w:rFonts w:ascii="Abadi" w:hAnsi="Abadi"/>
                <w:sz w:val="24"/>
                <w:szCs w:val="24"/>
                <w:lang w:val="es-ES"/>
              </w:rPr>
            </w:pPr>
            <w:r>
              <w:rPr>
                <w:rFonts w:ascii="Abadi" w:eastAsia="Calibri" w:hAnsi="Abadi" w:cs="Calibri"/>
                <w:color w:val="1A1A1A"/>
                <w:sz w:val="24"/>
                <w:szCs w:val="24"/>
                <w:lang w:val="es-ES"/>
              </w:rPr>
              <w:t>Capacidad potencial combinada Dragón + Mariscal Sucre: ~900 MMscfd equivalente (~6.5 Mtpa GNL), suficiente para abastecer ~3-4% del consumo europeo.</w:t>
            </w:r>
          </w:p>
        </w:tc>
      </w:tr>
      <w:tr w:rsidR="00DF147D" w:rsidRPr="00CB4A49" w14:paraId="05BBBC1C"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6F720F24" w14:textId="77777777" w:rsidR="00DF147D" w:rsidRPr="0018255F" w:rsidRDefault="00000000" w:rsidP="0018255F">
            <w:pPr>
              <w:pStyle w:val="Prrafodelista"/>
              <w:numPr>
                <w:ilvl w:val="0"/>
                <w:numId w:val="4"/>
              </w:numPr>
              <w:ind w:right="-90"/>
              <w:jc w:val="both"/>
              <w:rPr>
                <w:rFonts w:ascii="Abadi" w:hAnsi="Abadi"/>
                <w:sz w:val="24"/>
                <w:szCs w:val="24"/>
                <w:lang w:val="es-ES"/>
              </w:rPr>
            </w:pPr>
            <w:r>
              <w:rPr>
                <w:rFonts w:ascii="Abadi" w:eastAsia="Calibri" w:hAnsi="Abadi" w:cs="Calibri"/>
                <w:color w:val="1A1A1A"/>
                <w:sz w:val="24"/>
                <w:szCs w:val="24"/>
                <w:lang w:val="es-ES"/>
              </w:rPr>
              <w:t>Ventaja competitiva: licuefacción en Trinidad (capacidad instalada existente) sin necesidad de nuevas megainversiones en planta de GNL.</w:t>
            </w:r>
          </w:p>
        </w:tc>
      </w:tr>
      <w:tr w:rsidR="00DF147D" w:rsidRPr="00CB4A49" w14:paraId="534DDE63"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0E2C4488" w14:textId="77777777" w:rsidR="00DF147D" w:rsidRPr="0018255F" w:rsidRDefault="00000000" w:rsidP="0018255F">
            <w:pPr>
              <w:pStyle w:val="Prrafodelista"/>
              <w:numPr>
                <w:ilvl w:val="0"/>
                <w:numId w:val="4"/>
              </w:numPr>
              <w:ind w:right="-90"/>
              <w:jc w:val="both"/>
              <w:rPr>
                <w:rFonts w:ascii="Abadi" w:hAnsi="Abadi"/>
                <w:sz w:val="24"/>
                <w:szCs w:val="24"/>
                <w:lang w:val="es-ES"/>
              </w:rPr>
            </w:pPr>
            <w:r>
              <w:rPr>
                <w:rFonts w:ascii="Abadi" w:eastAsia="Calibri" w:hAnsi="Abadi" w:cs="Calibri"/>
                <w:color w:val="1A1A1A"/>
                <w:sz w:val="24"/>
                <w:szCs w:val="24"/>
                <w:lang w:val="es-ES"/>
              </w:rPr>
              <w:t>Cronograma estimado: primeras exportaciones 2027-2028, volumen pleno 2030-2031.</w:t>
            </w:r>
          </w:p>
        </w:tc>
      </w:tr>
      <w:tr w:rsidR="00DF147D" w:rsidRPr="00CB4A49" w14:paraId="16C4D6F1"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6D5952A8" w14:textId="77777777" w:rsidR="00DF147D" w:rsidRPr="0018255F" w:rsidRDefault="00000000" w:rsidP="0018255F">
            <w:pPr>
              <w:pStyle w:val="Prrafodelista"/>
              <w:numPr>
                <w:ilvl w:val="0"/>
                <w:numId w:val="4"/>
              </w:numPr>
              <w:ind w:right="-90"/>
              <w:jc w:val="both"/>
              <w:rPr>
                <w:rFonts w:ascii="Abadi" w:hAnsi="Abadi"/>
                <w:sz w:val="24"/>
                <w:szCs w:val="24"/>
                <w:lang w:val="es-ES"/>
              </w:rPr>
            </w:pPr>
            <w:r>
              <w:rPr>
                <w:rFonts w:ascii="Abadi" w:eastAsia="Calibri" w:hAnsi="Abadi" w:cs="Calibri"/>
                <w:color w:val="1A1A1A"/>
                <w:sz w:val="24"/>
                <w:szCs w:val="24"/>
                <w:lang w:val="es-ES"/>
              </w:rPr>
              <w:t>Riesgo principal: coherencia regulatoria bajo el nuevo gobierno de transición y mantenimiento de las licencias OFAC.</w:t>
            </w:r>
          </w:p>
        </w:tc>
      </w:tr>
    </w:tbl>
    <w:p w14:paraId="1876A236" w14:textId="77777777" w:rsidR="00DF147D" w:rsidRPr="00FF37C1" w:rsidRDefault="00DF147D" w:rsidP="00A7547F">
      <w:pPr>
        <w:ind w:right="-90"/>
        <w:jc w:val="both"/>
        <w:rPr>
          <w:rFonts w:ascii="Abadi" w:hAnsi="Abadi"/>
          <w:sz w:val="24"/>
          <w:szCs w:val="24"/>
          <w:lang w:val="es-ES"/>
        </w:rPr>
      </w:pPr>
    </w:p>
    <w:tbl>
      <w:tblPr>
        <w:tblW w:w="1008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CB4A49" w14:paraId="3225E861" w14:textId="77777777">
        <w:tc>
          <w:tcPr>
            <w:tcW w:w="1008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1A39B01C" w14:textId="77777777" w:rsidR="00DF147D" w:rsidRPr="00FF37C1" w:rsidRDefault="00000000" w:rsidP="00A7547F">
            <w:pPr>
              <w:ind w:right="-90"/>
              <w:jc w:val="both"/>
              <w:rPr>
                <w:rFonts w:ascii="Abadi" w:hAnsi="Abadi"/>
                <w:sz w:val="24"/>
                <w:szCs w:val="24"/>
                <w:lang w:val="es-ES"/>
              </w:rPr>
            </w:pPr>
            <w:r>
              <w:rPr>
                <w:rFonts w:ascii="Abadi" w:eastAsia="Calibri" w:hAnsi="Abadi" w:cs="Calibri"/>
                <w:b/>
                <w:bCs/>
                <w:color w:val="FFFFFF"/>
                <w:sz w:val="24"/>
                <w:szCs w:val="24"/>
                <w:lang w:val="es-ES"/>
              </w:rPr>
              <w:t>5.  SECTOR MINERO: EL ARCO MINERO DEL ORINOCO</w:t>
            </w:r>
          </w:p>
        </w:tc>
      </w:tr>
    </w:tbl>
    <w:p w14:paraId="7350B2A4" w14:textId="77777777" w:rsidR="0018255F" w:rsidRDefault="0018255F" w:rsidP="00A7547F">
      <w:pPr>
        <w:pBdr>
          <w:bottom w:val="single" w:sz="6" w:space="0" w:color="CC0000"/>
        </w:pBdr>
        <w:ind w:right="-90"/>
        <w:jc w:val="both"/>
        <w:rPr>
          <w:rFonts w:ascii="Abadi" w:eastAsia="Calibri" w:hAnsi="Abadi" w:cs="Calibri"/>
          <w:b/>
          <w:bCs/>
          <w:color w:val="1A1A1A"/>
          <w:sz w:val="24"/>
          <w:szCs w:val="24"/>
          <w:lang w:val="es-ES"/>
        </w:rPr>
      </w:pPr>
    </w:p>
    <w:p w14:paraId="79E242DF"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5.1  El Potencial Mineral de Venezuela</w:t>
      </w:r>
    </w:p>
    <w:p w14:paraId="782C6A9B" w14:textId="77777777" w:rsidR="0018255F" w:rsidRDefault="0018255F" w:rsidP="00A7547F">
      <w:pPr>
        <w:ind w:right="-90" w:firstLine="720"/>
        <w:jc w:val="both"/>
        <w:rPr>
          <w:rFonts w:ascii="Abadi" w:eastAsia="Calibri" w:hAnsi="Abadi" w:cs="Calibri"/>
          <w:color w:val="1A1A1A"/>
          <w:sz w:val="24"/>
          <w:szCs w:val="24"/>
          <w:lang w:val="es-ES"/>
        </w:rPr>
      </w:pPr>
    </w:p>
    <w:p w14:paraId="5B02B76A"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El Arco Minero del Orinoco (AMO), creado por Decreto Presidencial en 2016 sobre una superficie de 111,843 km², representa uno de los yacimientos de minerales estratégicos más importantes del hemisferio occidental. La zona concentra reservas significativas de oro, coltan (niobio-tantalio), diamantes, hierro, bauxita, cobre, níquel y tierras raras.</w:t>
      </w:r>
    </w:p>
    <w:p w14:paraId="12434822" w14:textId="77777777" w:rsidR="0018255F" w:rsidRPr="00FF37C1" w:rsidRDefault="0018255F" w:rsidP="00A7547F">
      <w:pPr>
        <w:ind w:right="-90" w:firstLine="720"/>
        <w:jc w:val="both"/>
        <w:rPr>
          <w:rFonts w:ascii="Abadi" w:hAnsi="Abadi"/>
          <w:sz w:val="24"/>
          <w:szCs w:val="24"/>
          <w:lang w:val="es-E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80"/>
        <w:gridCol w:w="2688"/>
        <w:gridCol w:w="2688"/>
        <w:gridCol w:w="3109"/>
      </w:tblGrid>
      <w:tr w:rsidR="00DF147D" w:rsidRPr="0018255F" w14:paraId="33341971" w14:textId="77777777" w:rsidTr="0018255F">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A330609"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Mineral</w:t>
            </w:r>
          </w:p>
        </w:tc>
        <w:tc>
          <w:tcPr>
            <w:tcW w:w="2688"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27B5E43"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Reservas Estimadas</w:t>
            </w:r>
          </w:p>
        </w:tc>
        <w:tc>
          <w:tcPr>
            <w:tcW w:w="2688"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61DC05C2"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Estado de Explotación</w:t>
            </w:r>
          </w:p>
        </w:tc>
        <w:tc>
          <w:tcPr>
            <w:tcW w:w="3109"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0D5C003"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Valor Estratégico</w:t>
            </w:r>
          </w:p>
        </w:tc>
      </w:tr>
      <w:tr w:rsidR="00DF147D" w:rsidRPr="0018255F" w14:paraId="70845ADD" w14:textId="77777777" w:rsidTr="0018255F">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0C0E288"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Oro</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2BF7D7C"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&gt;7,000 toneladas (métricas)</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73DBE1C"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Activa: formal e informal</w:t>
            </w:r>
          </w:p>
        </w:tc>
        <w:tc>
          <w:tcPr>
            <w:tcW w:w="310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6B31DA1"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Alto — reservas BCV + exportación</w:t>
            </w:r>
          </w:p>
        </w:tc>
      </w:tr>
      <w:tr w:rsidR="00DF147D" w:rsidRPr="0018255F" w14:paraId="3E76B8B3" w14:textId="77777777" w:rsidTr="0018255F">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09EC50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Coltán (Nb-Ta)</w:t>
            </w:r>
          </w:p>
        </w:tc>
        <w:tc>
          <w:tcPr>
            <w:tcW w:w="268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5F95106"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Indefinido (prospectado)</w:t>
            </w:r>
          </w:p>
        </w:tc>
        <w:tc>
          <w:tcPr>
            <w:tcW w:w="268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8A5FE7D"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Artesanal / informal</w:t>
            </w:r>
          </w:p>
        </w:tc>
        <w:tc>
          <w:tcPr>
            <w:tcW w:w="3109"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320DACD"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Crítico — electrónica, defensa</w:t>
            </w:r>
          </w:p>
        </w:tc>
      </w:tr>
      <w:tr w:rsidR="00DF147D" w:rsidRPr="0018255F" w14:paraId="2E7CC45A" w14:textId="77777777" w:rsidTr="0018255F">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B9876C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Hierro</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311A2A2"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&gt;15,000 Mt (Cerro Bolívar, etc.)</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69901E2"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SIDOR parcialmente activa</w:t>
            </w:r>
          </w:p>
        </w:tc>
        <w:tc>
          <w:tcPr>
            <w:tcW w:w="310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6EA1D8F"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Medio — siderurgia regional</w:t>
            </w:r>
          </w:p>
        </w:tc>
      </w:tr>
      <w:tr w:rsidR="00DF147D" w:rsidRPr="0018255F" w14:paraId="513A358B" w14:textId="77777777" w:rsidTr="0018255F">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3857C8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Bauxita</w:t>
            </w:r>
          </w:p>
        </w:tc>
        <w:tc>
          <w:tcPr>
            <w:tcW w:w="268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306F3A0"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~320 Mt</w:t>
            </w:r>
          </w:p>
        </w:tc>
        <w:tc>
          <w:tcPr>
            <w:tcW w:w="268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CBD1DE3"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Parada (Alcasa/Venalum)</w:t>
            </w:r>
          </w:p>
        </w:tc>
        <w:tc>
          <w:tcPr>
            <w:tcW w:w="3109"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E30625B"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Medio — aluminio</w:t>
            </w:r>
          </w:p>
        </w:tc>
      </w:tr>
      <w:tr w:rsidR="00DF147D" w:rsidRPr="0018255F" w14:paraId="5AA8F4AB" w14:textId="77777777" w:rsidTr="0018255F">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124F255"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Diamantes</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17182BE"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&gt;100M quilates estimados</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AB18106"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Informal dominante</w:t>
            </w:r>
          </w:p>
        </w:tc>
        <w:tc>
          <w:tcPr>
            <w:tcW w:w="310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6AFA064"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Medio-alto</w:t>
            </w:r>
          </w:p>
        </w:tc>
      </w:tr>
    </w:tbl>
    <w:p w14:paraId="1EBF23E2" w14:textId="77777777" w:rsidR="00DF147D" w:rsidRPr="00FF37C1" w:rsidRDefault="00DF147D" w:rsidP="00A7547F">
      <w:pPr>
        <w:ind w:right="-90"/>
        <w:jc w:val="both"/>
        <w:rPr>
          <w:rFonts w:ascii="Abadi" w:hAnsi="Abadi"/>
          <w:sz w:val="24"/>
          <w:szCs w:val="24"/>
        </w:rPr>
      </w:pPr>
    </w:p>
    <w:p w14:paraId="25D04DD3" w14:textId="77777777" w:rsidR="0018255F" w:rsidRDefault="0018255F" w:rsidP="00A7547F">
      <w:pPr>
        <w:pBdr>
          <w:bottom w:val="single" w:sz="6" w:space="0" w:color="CC0000"/>
        </w:pBdr>
        <w:ind w:right="-90"/>
        <w:jc w:val="both"/>
        <w:rPr>
          <w:rFonts w:ascii="Abadi" w:eastAsia="Calibri" w:hAnsi="Abadi" w:cs="Calibri"/>
          <w:b/>
          <w:bCs/>
          <w:color w:val="1A1A1A"/>
          <w:sz w:val="24"/>
          <w:szCs w:val="24"/>
        </w:rPr>
      </w:pPr>
    </w:p>
    <w:p w14:paraId="43465E63" w14:textId="77777777" w:rsidR="00DF147D" w:rsidRPr="00FF37C1" w:rsidRDefault="00000000" w:rsidP="00A7547F">
      <w:pPr>
        <w:pBdr>
          <w:bottom w:val="single" w:sz="6" w:space="0" w:color="CC0000"/>
        </w:pBdr>
        <w:ind w:right="-90"/>
        <w:jc w:val="both"/>
        <w:rPr>
          <w:rFonts w:ascii="Abadi" w:hAnsi="Abadi"/>
          <w:sz w:val="24"/>
          <w:szCs w:val="24"/>
        </w:rPr>
      </w:pPr>
      <w:r>
        <w:rPr>
          <w:rFonts w:ascii="Abadi" w:eastAsia="Calibri" w:hAnsi="Abadi" w:cs="Calibri"/>
          <w:b/>
          <w:bCs/>
          <w:color w:val="1A1A1A"/>
          <w:sz w:val="24"/>
          <w:szCs w:val="24"/>
        </w:rPr>
        <w:t>5.2  Informalidad y Riesgo Socioambiental</w:t>
      </w:r>
    </w:p>
    <w:p w14:paraId="7D9FC16C" w14:textId="77777777" w:rsidR="0018255F" w:rsidRDefault="0018255F" w:rsidP="00A7547F">
      <w:pPr>
        <w:ind w:right="-90" w:firstLine="720"/>
        <w:jc w:val="both"/>
        <w:rPr>
          <w:rFonts w:ascii="Abadi" w:eastAsia="Calibri" w:hAnsi="Abadi" w:cs="Calibri"/>
          <w:color w:val="1A1A1A"/>
          <w:sz w:val="24"/>
          <w:szCs w:val="24"/>
          <w:lang w:val="es-ES"/>
        </w:rPr>
      </w:pPr>
    </w:p>
    <w:p w14:paraId="74CC34AE"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La explotación minera en el AMO presenta un grave problema estructural: la dominancia de la minería ilegal e informal, controlada en gran parte por grupos armados irregulares (pranes, ELN colombiano, disidencias de las FARC) bajo el esquema documentado denominado "Sindicatos Mineros". Esta estructura criminal controla el acceso a las zonas de extracción, cobra tarifas ilegales y genera violencia sistemática.</w:t>
      </w:r>
    </w:p>
    <w:p w14:paraId="590DFF81" w14:textId="77777777" w:rsidR="0018255F" w:rsidRPr="00FF37C1" w:rsidRDefault="0018255F" w:rsidP="00A7547F">
      <w:pPr>
        <w:ind w:right="-90" w:firstLine="720"/>
        <w:jc w:val="both"/>
        <w:rPr>
          <w:rFonts w:ascii="Abadi" w:hAnsi="Abadi"/>
          <w:sz w:val="24"/>
          <w:szCs w:val="24"/>
          <w:lang w:val="es-ES"/>
        </w:rPr>
      </w:pPr>
    </w:p>
    <w:p w14:paraId="090FE14B"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Entre los principales riesgos socioambientales documentados se encuentran: la deforestación masiva (estimada en más de 900 km² en el período 2016-2024 según PROVEA y organizaciones indígenas), la contaminación por mercurio de cuencas hidrográficas del sur venezolano, y la vulneración sistemática de los derechos de pueblos indígenas Pemón, Yanomami y Kariña.</w:t>
      </w:r>
    </w:p>
    <w:p w14:paraId="41429D2A" w14:textId="77777777" w:rsidR="0018255F" w:rsidRPr="00FF37C1" w:rsidRDefault="0018255F" w:rsidP="00A7547F">
      <w:pPr>
        <w:ind w:right="-90" w:firstLine="720"/>
        <w:jc w:val="both"/>
        <w:rPr>
          <w:rFonts w:ascii="Abadi" w:hAnsi="Abadi"/>
          <w:sz w:val="24"/>
          <w:szCs w:val="24"/>
          <w:lang w:val="es-ES"/>
        </w:rPr>
      </w:pPr>
    </w:p>
    <w:tbl>
      <w:tblPr>
        <w:tblW w:w="1008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CB4A49" w14:paraId="54AE1E4A" w14:textId="77777777">
        <w:tc>
          <w:tcPr>
            <w:tcW w:w="10080" w:type="dxa"/>
            <w:tcBorders>
              <w:top w:val="none" w:sz="0" w:space="0" w:color="FFFFFF"/>
              <w:left w:val="none" w:sz="0" w:space="0" w:color="FFFFFF"/>
              <w:bottom w:val="none" w:sz="0" w:space="0" w:color="FFFFFF"/>
              <w:right w:val="none" w:sz="0" w:space="0" w:color="FFFFFF"/>
            </w:tcBorders>
            <w:shd w:val="clear" w:color="auto" w:fill="E8E8E8"/>
            <w:tcMar>
              <w:top w:w="80" w:type="dxa"/>
              <w:left w:w="160" w:type="dxa"/>
              <w:bottom w:w="80" w:type="dxa"/>
              <w:right w:w="160" w:type="dxa"/>
            </w:tcMar>
          </w:tcPr>
          <w:p w14:paraId="33942076" w14:textId="77777777" w:rsidR="00DF147D" w:rsidRPr="00FF37C1" w:rsidRDefault="00000000" w:rsidP="00A7547F">
            <w:pPr>
              <w:ind w:right="-90"/>
              <w:jc w:val="both"/>
              <w:rPr>
                <w:rFonts w:ascii="Abadi" w:hAnsi="Abadi"/>
                <w:sz w:val="24"/>
                <w:szCs w:val="24"/>
                <w:lang w:val="es-ES"/>
              </w:rPr>
            </w:pPr>
            <w:r>
              <w:rPr>
                <w:rFonts w:ascii="Segoe UI Symbol" w:eastAsia="Calibri" w:hAnsi="Segoe UI Symbol" w:cs="Segoe UI Symbol"/>
                <w:b/>
                <w:bCs/>
                <w:color w:val="CC0000"/>
                <w:sz w:val="24"/>
                <w:szCs w:val="24"/>
                <w:lang w:val="es-ES"/>
              </w:rPr>
              <w:t>⚠</w:t>
            </w:r>
            <w:r>
              <w:rPr>
                <w:rFonts w:ascii="Abadi" w:eastAsia="Calibri" w:hAnsi="Abadi" w:cs="Calibri"/>
                <w:b/>
                <w:bCs/>
                <w:color w:val="CC0000"/>
                <w:sz w:val="24"/>
                <w:szCs w:val="24"/>
                <w:lang w:val="es-ES"/>
              </w:rPr>
              <w:t xml:space="preserve"> </w:t>
            </w:r>
            <w:r>
              <w:rPr>
                <w:rFonts w:ascii="Abadi" w:eastAsia="Calibri" w:hAnsi="Abadi" w:cs="Calibri"/>
                <w:b/>
                <w:bCs/>
                <w:color w:val="1A1A1A"/>
                <w:sz w:val="24"/>
                <w:szCs w:val="24"/>
                <w:lang w:val="es-ES"/>
              </w:rPr>
              <w:t>EVALUACIÓN CRÍTICA — ANALISIS: SECTOR MINERO</w:t>
            </w:r>
          </w:p>
        </w:tc>
      </w:tr>
      <w:tr w:rsidR="00DF147D" w:rsidRPr="00CB4A49" w14:paraId="4C20E2F3"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36CCEB67" w14:textId="77777777" w:rsidR="0018255F" w:rsidRPr="0018255F" w:rsidRDefault="0018255F" w:rsidP="0018255F">
            <w:pPr>
              <w:pStyle w:val="Prrafodelista"/>
              <w:ind w:left="720" w:right="-90"/>
              <w:jc w:val="both"/>
              <w:rPr>
                <w:rFonts w:ascii="Abadi" w:eastAsia="Calibri" w:hAnsi="Abadi" w:cs="Calibri"/>
                <w:color w:val="1A1A1A"/>
                <w:sz w:val="24"/>
                <w:szCs w:val="24"/>
                <w:lang w:val="es-ES"/>
              </w:rPr>
            </w:pPr>
          </w:p>
          <w:p w14:paraId="6E6FA52F" w14:textId="77777777" w:rsidR="00DF147D" w:rsidRPr="0018255F" w:rsidRDefault="00000000" w:rsidP="0018255F">
            <w:pPr>
              <w:pStyle w:val="Prrafodelista"/>
              <w:numPr>
                <w:ilvl w:val="0"/>
                <w:numId w:val="5"/>
              </w:numPr>
              <w:ind w:right="-90"/>
              <w:jc w:val="both"/>
              <w:rPr>
                <w:rFonts w:ascii="Abadi" w:hAnsi="Abadi"/>
                <w:sz w:val="24"/>
                <w:szCs w:val="24"/>
                <w:lang w:val="es-ES"/>
              </w:rPr>
            </w:pPr>
            <w:r>
              <w:rPr>
                <w:rFonts w:ascii="Abadi" w:eastAsia="Calibri" w:hAnsi="Abadi" w:cs="Calibri"/>
                <w:color w:val="1A1A1A"/>
                <w:sz w:val="24"/>
                <w:szCs w:val="24"/>
                <w:lang w:val="es-ES"/>
              </w:rPr>
              <w:lastRenderedPageBreak/>
              <w:t>El AMO representa una oportunidad real de largo plazo (2026-2035) para inversores en minerales críticos, pero el entorno regulatorio y de seguridad requiere una estabilización política-institucional previa que aún no ha ocurrido.</w:t>
            </w:r>
          </w:p>
        </w:tc>
      </w:tr>
      <w:tr w:rsidR="00DF147D" w:rsidRPr="00CB4A49" w14:paraId="78FF1C71"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24AF6D41" w14:textId="77777777" w:rsidR="00DF147D" w:rsidRPr="0018255F" w:rsidRDefault="00000000" w:rsidP="0018255F">
            <w:pPr>
              <w:pStyle w:val="Prrafodelista"/>
              <w:numPr>
                <w:ilvl w:val="0"/>
                <w:numId w:val="5"/>
              </w:numPr>
              <w:ind w:right="-90"/>
              <w:jc w:val="both"/>
              <w:rPr>
                <w:rFonts w:ascii="Abadi" w:hAnsi="Abadi"/>
                <w:sz w:val="24"/>
                <w:szCs w:val="24"/>
                <w:lang w:val="es-ES"/>
              </w:rPr>
            </w:pPr>
            <w:r>
              <w:rPr>
                <w:rFonts w:ascii="Abadi" w:eastAsia="Calibri" w:hAnsi="Abadi" w:cs="Calibri"/>
                <w:color w:val="1A1A1A"/>
                <w:sz w:val="24"/>
                <w:szCs w:val="24"/>
                <w:lang w:val="es-ES"/>
              </w:rPr>
              <w:lastRenderedPageBreak/>
              <w:t>La formalización de la minería de oro dependerá de la capacidad del gobierno de transición de desmantelar las redes criminales que controlan el territorio — proceso que tomará años, no meses.</w:t>
            </w:r>
          </w:p>
        </w:tc>
      </w:tr>
      <w:tr w:rsidR="00DF147D" w:rsidRPr="00CB4A49" w14:paraId="2412CB39"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6DF32657" w14:textId="77777777" w:rsidR="00DF147D" w:rsidRPr="0018255F" w:rsidRDefault="00000000" w:rsidP="0018255F">
            <w:pPr>
              <w:pStyle w:val="Prrafodelista"/>
              <w:numPr>
                <w:ilvl w:val="0"/>
                <w:numId w:val="5"/>
              </w:numPr>
              <w:ind w:right="-90"/>
              <w:jc w:val="both"/>
              <w:rPr>
                <w:rFonts w:ascii="Abadi" w:hAnsi="Abadi"/>
                <w:sz w:val="24"/>
                <w:szCs w:val="24"/>
                <w:lang w:val="es-ES"/>
              </w:rPr>
            </w:pPr>
            <w:r>
              <w:rPr>
                <w:rFonts w:ascii="Abadi" w:eastAsia="Calibri" w:hAnsi="Abadi" w:cs="Calibri"/>
                <w:color w:val="1A1A1A"/>
                <w:sz w:val="24"/>
                <w:szCs w:val="24"/>
                <w:lang w:val="es-ES"/>
              </w:rPr>
              <w:t>Venezuela comenzó a vender oro por cuenta propia (MINERVEN) a través de intermediarios como Trafigura, generando ingresos en divisas bajo un esquema que los organismos internacionales han cuestionado por transparencia.</w:t>
            </w:r>
          </w:p>
        </w:tc>
      </w:tr>
      <w:tr w:rsidR="00DF147D" w:rsidRPr="00CB4A49" w14:paraId="423233A4" w14:textId="77777777">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000B07AD" w14:textId="77777777" w:rsidR="00DF147D" w:rsidRPr="0018255F" w:rsidRDefault="00000000" w:rsidP="0018255F">
            <w:pPr>
              <w:pStyle w:val="Prrafodelista"/>
              <w:numPr>
                <w:ilvl w:val="0"/>
                <w:numId w:val="5"/>
              </w:numPr>
              <w:ind w:right="-90"/>
              <w:jc w:val="both"/>
              <w:rPr>
                <w:rFonts w:ascii="Abadi" w:hAnsi="Abadi"/>
                <w:sz w:val="24"/>
                <w:szCs w:val="24"/>
                <w:lang w:val="es-ES"/>
              </w:rPr>
            </w:pPr>
            <w:r>
              <w:rPr>
                <w:rFonts w:ascii="Abadi" w:eastAsia="Calibri" w:hAnsi="Abadi" w:cs="Calibri"/>
                <w:color w:val="1A1A1A"/>
                <w:sz w:val="24"/>
                <w:szCs w:val="24"/>
                <w:lang w:val="es-ES"/>
              </w:rPr>
              <w:t>Recomendación para el inversor: posicionamiento exploratorio y de due diligence en 2026-2027, con compromisos de capital condicionados a hitos de gobernanza específicos.</w:t>
            </w:r>
          </w:p>
        </w:tc>
      </w:tr>
    </w:tbl>
    <w:p w14:paraId="1AF3F279" w14:textId="77777777" w:rsidR="00DF147D" w:rsidRDefault="00DF147D" w:rsidP="00A7547F">
      <w:pPr>
        <w:ind w:right="-90"/>
        <w:jc w:val="both"/>
        <w:rPr>
          <w:rFonts w:ascii="Abadi" w:hAnsi="Abadi"/>
          <w:sz w:val="24"/>
          <w:szCs w:val="24"/>
          <w:lang w:val="es-ES"/>
        </w:rPr>
      </w:pPr>
    </w:p>
    <w:p w14:paraId="1BA9CF8B" w14:textId="77777777" w:rsidR="00AA2B3C" w:rsidRPr="00FF37C1" w:rsidRDefault="00AA2B3C" w:rsidP="00A7547F">
      <w:pPr>
        <w:ind w:right="-90"/>
        <w:jc w:val="both"/>
        <w:rPr>
          <w:rFonts w:ascii="Abadi" w:hAnsi="Abadi"/>
          <w:sz w:val="24"/>
          <w:szCs w:val="24"/>
          <w:lang w:val="es-ES"/>
        </w:rPr>
      </w:pPr>
    </w:p>
    <w:tbl>
      <w:tblPr>
        <w:tblW w:w="1008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CB4A49" w14:paraId="7C64BC84" w14:textId="77777777">
        <w:tc>
          <w:tcPr>
            <w:tcW w:w="1008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5C8BDB31" w14:textId="77777777" w:rsidR="00DF147D" w:rsidRPr="00FF37C1" w:rsidRDefault="00000000" w:rsidP="00A7547F">
            <w:pPr>
              <w:ind w:right="-90"/>
              <w:jc w:val="both"/>
              <w:rPr>
                <w:rFonts w:ascii="Abadi" w:hAnsi="Abadi"/>
                <w:sz w:val="24"/>
                <w:szCs w:val="24"/>
                <w:lang w:val="es-ES"/>
              </w:rPr>
            </w:pPr>
            <w:r>
              <w:rPr>
                <w:rFonts w:ascii="Abadi" w:eastAsia="Calibri" w:hAnsi="Abadi" w:cs="Calibri"/>
                <w:b/>
                <w:bCs/>
                <w:color w:val="FFFFFF"/>
                <w:sz w:val="24"/>
                <w:szCs w:val="24"/>
                <w:lang w:val="es-ES"/>
              </w:rPr>
              <w:t>6.  SECTOR ELÉCTRICO: LA CRISIS ESTRUCTURAL PERSISTENTE</w:t>
            </w:r>
          </w:p>
        </w:tc>
      </w:tr>
    </w:tbl>
    <w:p w14:paraId="3FA10C5D" w14:textId="77777777" w:rsidR="0018255F" w:rsidRDefault="0018255F" w:rsidP="00A7547F">
      <w:pPr>
        <w:pBdr>
          <w:bottom w:val="single" w:sz="6" w:space="0" w:color="CC0000"/>
        </w:pBdr>
        <w:ind w:right="-90"/>
        <w:jc w:val="both"/>
        <w:rPr>
          <w:rFonts w:ascii="Abadi" w:eastAsia="Calibri" w:hAnsi="Abadi" w:cs="Calibri"/>
          <w:b/>
          <w:bCs/>
          <w:color w:val="1A1A1A"/>
          <w:sz w:val="24"/>
          <w:szCs w:val="24"/>
          <w:lang w:val="es-ES"/>
        </w:rPr>
      </w:pPr>
    </w:p>
    <w:p w14:paraId="206421BB"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6.1  Diagnóstico del Sistema Eléctrico Nacional</w:t>
      </w:r>
    </w:p>
    <w:p w14:paraId="3C6EC386" w14:textId="77777777" w:rsidR="0018255F" w:rsidRDefault="0018255F" w:rsidP="00A7547F">
      <w:pPr>
        <w:ind w:right="-90" w:firstLine="720"/>
        <w:jc w:val="both"/>
        <w:rPr>
          <w:rFonts w:ascii="Abadi" w:eastAsia="Calibri" w:hAnsi="Abadi" w:cs="Calibri"/>
          <w:color w:val="1A1A1A"/>
          <w:sz w:val="24"/>
          <w:szCs w:val="24"/>
          <w:lang w:val="es-ES"/>
        </w:rPr>
      </w:pPr>
    </w:p>
    <w:p w14:paraId="004FB530"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El Sistema Eléctrico Nacional (SEN) venezolano constituye uno de los cuellos de botella más críticos para el desarrollo económico y la atracción de inversión. La capacidad instalada teórica supera los 30,000 MW (hidro + térmica), pero la capacidad efectivamente disponible ronda los 15,000-17,000 MW, con graves problemas de despacho, transmisión y distribución.</w:t>
      </w:r>
    </w:p>
    <w:p w14:paraId="0CE6AD2F" w14:textId="77777777" w:rsidR="0018255F" w:rsidRPr="00FF37C1" w:rsidRDefault="0018255F" w:rsidP="00A7547F">
      <w:pPr>
        <w:ind w:right="-90" w:firstLine="720"/>
        <w:jc w:val="both"/>
        <w:rPr>
          <w:rFonts w:ascii="Abadi" w:hAnsi="Abadi"/>
          <w:sz w:val="24"/>
          <w:szCs w:val="24"/>
          <w:lang w:val="es-ES"/>
        </w:rPr>
      </w:pPr>
    </w:p>
    <w:p w14:paraId="088EA724"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Venezuela sufre cortes de electricidad crónicos que afectan la totalidad de sus 24 estados, con el Zulia como epicentro (99% de los hogares reportan cortes frecuentes según encuestas de opinión de 2025). La crisis se profundizó en 2024 con el impacto del Fenómeno El Niño sobre los niveles del embalse de Guri, la mayor represa hidroeléctrica del país, que genera ~70% de la electricidad nacional.</w:t>
      </w:r>
    </w:p>
    <w:p w14:paraId="63AEC15F" w14:textId="77777777" w:rsidR="0018255F" w:rsidRPr="00FF37C1" w:rsidRDefault="0018255F" w:rsidP="00A7547F">
      <w:pPr>
        <w:ind w:right="-90" w:firstLine="720"/>
        <w:jc w:val="both"/>
        <w:rPr>
          <w:rFonts w:ascii="Abadi" w:hAnsi="Abadi"/>
          <w:sz w:val="24"/>
          <w:szCs w:val="24"/>
          <w:lang w:val="es-E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60"/>
        <w:gridCol w:w="3360"/>
        <w:gridCol w:w="3445"/>
      </w:tblGrid>
      <w:tr w:rsidR="00DF147D" w:rsidRPr="0018255F" w14:paraId="482C643E" w14:textId="77777777" w:rsidTr="0018255F">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423D3806"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Indicador</w:t>
            </w:r>
          </w:p>
        </w:tc>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419B214F"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Valor / Estado (2024-2026)</w:t>
            </w:r>
          </w:p>
        </w:tc>
        <w:tc>
          <w:tcPr>
            <w:tcW w:w="3445"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759B973"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Fuente</w:t>
            </w:r>
          </w:p>
        </w:tc>
      </w:tr>
      <w:tr w:rsidR="00DF147D" w:rsidRPr="0018255F" w14:paraId="2F6ED417" w14:textId="77777777" w:rsidTr="0018255F">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A0E74EA"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Capacidad instalada (teórica)</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7A81F68"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~30,000 MW</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7C9AFED"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CORPOELEC / MEM</w:t>
            </w:r>
          </w:p>
        </w:tc>
      </w:tr>
      <w:tr w:rsidR="00DF147D" w:rsidRPr="0018255F" w14:paraId="1AF3AD93" w14:textId="77777777" w:rsidTr="0018255F">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9CB4AA6"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Capacidad efectiva disponible</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6FBA969"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~15,000-17,000 MW</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F9ED239"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Estimaciones analistas</w:t>
            </w:r>
          </w:p>
        </w:tc>
      </w:tr>
      <w:tr w:rsidR="00DF147D" w:rsidRPr="0018255F" w14:paraId="0DD53333" w14:textId="77777777" w:rsidTr="0018255F">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156A43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Pérdidas en transmisión/distribución</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3E69438"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~35-40% (estimado)</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FD0F1B2"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IESA, Ecoanalítica</w:t>
            </w:r>
          </w:p>
        </w:tc>
      </w:tr>
      <w:tr w:rsidR="00DF147D" w:rsidRPr="0018255F" w14:paraId="691E9F81" w14:textId="77777777" w:rsidTr="0018255F">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719F6FB"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Hogares con cortes frecuentes (Zulia)</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A24D1A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~99%</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18BBEAD"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Portafolio.co, 2025</w:t>
            </w:r>
          </w:p>
        </w:tc>
      </w:tr>
      <w:tr w:rsidR="00DF147D" w:rsidRPr="0018255F" w14:paraId="100E3828" w14:textId="77777777" w:rsidTr="0018255F">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6D9FB98"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Estados con apagones reportados</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395D276"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20 de 24</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5B79CFC"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Diario de Cuyo, 2025</w:t>
            </w:r>
          </w:p>
        </w:tc>
      </w:tr>
      <w:tr w:rsidR="00DF147D" w:rsidRPr="0018255F" w14:paraId="2CE38EA8" w14:textId="77777777" w:rsidTr="0018255F">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C8D0A63"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Embalse Guri (nivel mínimo histórico)</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9D41FC1"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Alcanzado en 2024</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9D2F3E5"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Corpoelec / analistas</w:t>
            </w:r>
          </w:p>
        </w:tc>
      </w:tr>
    </w:tbl>
    <w:p w14:paraId="30E47D40" w14:textId="77777777" w:rsidR="00DF147D" w:rsidRPr="00FF37C1" w:rsidRDefault="00DF147D" w:rsidP="00A7547F">
      <w:pPr>
        <w:ind w:right="-90"/>
        <w:jc w:val="both"/>
        <w:rPr>
          <w:rFonts w:ascii="Abadi" w:hAnsi="Abadi"/>
          <w:sz w:val="24"/>
          <w:szCs w:val="24"/>
        </w:rPr>
      </w:pPr>
    </w:p>
    <w:p w14:paraId="48A5DF42" w14:textId="77777777" w:rsidR="00DF147D" w:rsidRPr="0018255F"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6.2  Inversión Requerida y Oportunidades</w:t>
      </w:r>
    </w:p>
    <w:p w14:paraId="1E72CD1B" w14:textId="77777777" w:rsidR="0018255F" w:rsidRPr="0018255F" w:rsidRDefault="0018255F" w:rsidP="00A7547F">
      <w:pPr>
        <w:ind w:right="-90" w:firstLine="720"/>
        <w:jc w:val="both"/>
        <w:rPr>
          <w:rFonts w:ascii="Abadi" w:eastAsia="Calibri" w:hAnsi="Abadi" w:cs="Calibri"/>
          <w:color w:val="1A1A1A"/>
          <w:sz w:val="24"/>
          <w:szCs w:val="24"/>
          <w:lang w:val="es-ES"/>
        </w:rPr>
      </w:pPr>
    </w:p>
    <w:p w14:paraId="35334E64"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 xml:space="preserve">La rehabilitación del SEN requiere una inversión estimada de entre USD $10,000 y $20,000 millones a lo largo de 10 años, según estimaciones de la industria (OLADE, 2024). Las áreas prioritarias incluyen: la rehabilitación de generación térmica (plantas Planta Centro, Termozulia, Ramón Laguna), la modernización de la red de transmisión de 765 kV y 400 kV, y la inversión en </w:t>
      </w:r>
      <w:r>
        <w:rPr>
          <w:rFonts w:ascii="Abadi" w:eastAsia="Calibri" w:hAnsi="Abadi" w:cs="Calibri"/>
          <w:color w:val="1A1A1A"/>
          <w:sz w:val="24"/>
          <w:szCs w:val="24"/>
          <w:lang w:val="es-ES"/>
        </w:rPr>
        <w:lastRenderedPageBreak/>
        <w:t>generación distribuida renovable (solar, eólica) para reducir la dependencia del sistema centralizado de Guri.</w:t>
      </w:r>
    </w:p>
    <w:p w14:paraId="225239E5" w14:textId="77777777" w:rsidR="00BD03AE" w:rsidRPr="00FF37C1" w:rsidRDefault="00BD03AE" w:rsidP="00A7547F">
      <w:pPr>
        <w:ind w:right="-90" w:firstLine="720"/>
        <w:jc w:val="both"/>
        <w:rPr>
          <w:rFonts w:ascii="Abadi" w:hAnsi="Abadi"/>
          <w:sz w:val="24"/>
          <w:szCs w:val="24"/>
          <w:lang w:val="es-ES"/>
        </w:rPr>
      </w:pPr>
    </w:p>
    <w:p w14:paraId="0C53140B" w14:textId="77777777" w:rsidR="00DF147D" w:rsidRPr="00FF37C1" w:rsidRDefault="00000000" w:rsidP="00A7547F">
      <w:pPr>
        <w:ind w:right="-90" w:firstLine="720"/>
        <w:jc w:val="both"/>
        <w:rPr>
          <w:rFonts w:ascii="Abadi" w:hAnsi="Abadi"/>
          <w:sz w:val="24"/>
          <w:szCs w:val="24"/>
          <w:lang w:val="es-ES"/>
        </w:rPr>
      </w:pPr>
      <w:r>
        <w:rPr>
          <w:rFonts w:ascii="Abadi" w:eastAsia="Calibri" w:hAnsi="Abadi" w:cs="Calibri"/>
          <w:color w:val="1A1A1A"/>
          <w:sz w:val="24"/>
          <w:szCs w:val="24"/>
          <w:lang w:val="es-ES"/>
        </w:rPr>
        <w:t>El gobierno de transición ha identificado la electrificación como prioridad de primer orden, incluyendo en las negociaciones con los EE.UU. y el BID componentes de cooperación técnica para la rehabilitación eléctrica. La participación del sector privado bajo esquemas de concesión o PPP (Asociaciones Público-Privadas) es considerada indispensable dado el limitado acceso del Estado venezolano a financiamiento internacional.</w:t>
      </w:r>
    </w:p>
    <w:p w14:paraId="6A34A8EF" w14:textId="77777777" w:rsidR="00DF147D" w:rsidRPr="00FF37C1" w:rsidRDefault="00DF147D" w:rsidP="00A7547F">
      <w:pPr>
        <w:ind w:right="-90"/>
        <w:jc w:val="both"/>
        <w:rPr>
          <w:rFonts w:ascii="Abadi" w:hAnsi="Abadi"/>
          <w:sz w:val="24"/>
          <w:szCs w:val="24"/>
          <w:lang w:val="es-ES"/>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CB4A49" w14:paraId="53C2CF26" w14:textId="77777777" w:rsidTr="0018255F">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0141C8D9" w14:textId="77777777" w:rsidR="00DF147D" w:rsidRPr="00FF37C1" w:rsidRDefault="00000000" w:rsidP="00A7547F">
            <w:pPr>
              <w:ind w:right="-90"/>
              <w:jc w:val="both"/>
              <w:rPr>
                <w:rFonts w:ascii="Abadi" w:hAnsi="Abadi"/>
                <w:sz w:val="24"/>
                <w:szCs w:val="24"/>
                <w:lang w:val="es-ES"/>
              </w:rPr>
            </w:pPr>
            <w:r>
              <w:rPr>
                <w:rFonts w:ascii="Abadi" w:eastAsia="Calibri" w:hAnsi="Abadi" w:cs="Calibri"/>
                <w:b/>
                <w:bCs/>
                <w:color w:val="FFFFFF"/>
                <w:sz w:val="24"/>
                <w:szCs w:val="24"/>
                <w:lang w:val="es-ES"/>
              </w:rPr>
              <w:t>7.  MACROECONOMÍA: RECUPERACIÓN FRÁGIL Y DOLARIZACIÓN DE FACTO</w:t>
            </w:r>
          </w:p>
        </w:tc>
      </w:tr>
    </w:tbl>
    <w:p w14:paraId="7391C5FC" w14:textId="77777777" w:rsidR="0018255F" w:rsidRDefault="0018255F" w:rsidP="00A7547F">
      <w:pPr>
        <w:pBdr>
          <w:bottom w:val="single" w:sz="6" w:space="0" w:color="CC0000"/>
        </w:pBdr>
        <w:ind w:right="-90"/>
        <w:jc w:val="both"/>
        <w:rPr>
          <w:rFonts w:ascii="Abadi" w:eastAsia="Calibri" w:hAnsi="Abadi" w:cs="Calibri"/>
          <w:b/>
          <w:bCs/>
          <w:color w:val="1A1A1A"/>
          <w:sz w:val="24"/>
          <w:szCs w:val="24"/>
          <w:lang w:val="es-ES"/>
        </w:rPr>
      </w:pPr>
    </w:p>
    <w:p w14:paraId="3A655067"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7.1  Indicadores Macroeconómicos Clave</w:t>
      </w:r>
    </w:p>
    <w:p w14:paraId="5BCA62FF" w14:textId="77777777" w:rsidR="0018255F" w:rsidRDefault="0018255F" w:rsidP="00A7547F">
      <w:pPr>
        <w:ind w:right="-90" w:firstLine="720"/>
        <w:jc w:val="both"/>
        <w:rPr>
          <w:rFonts w:ascii="Abadi" w:eastAsia="Calibri" w:hAnsi="Abadi" w:cs="Calibri"/>
          <w:color w:val="1A1A1A"/>
          <w:sz w:val="24"/>
          <w:szCs w:val="24"/>
          <w:lang w:val="es-ES"/>
        </w:rPr>
      </w:pPr>
    </w:p>
    <w:p w14:paraId="7E44B9D5"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La economía venezolana registra crecimiento positivo desde 2021, después de la contracción acumulada más severa de América Latina en tiempos de paz: entre 2013 y 2020, el PIB venezolano se contrajo aproximadamente 75% en términos reales. La recuperación ha sido impulsada principalmente por el sector petrolero, la minería y el comercio informal dolarizado.</w:t>
      </w:r>
    </w:p>
    <w:p w14:paraId="2D9A217B" w14:textId="77777777" w:rsidR="0018255F" w:rsidRPr="00FF37C1" w:rsidRDefault="0018255F" w:rsidP="00A7547F">
      <w:pPr>
        <w:ind w:right="-90" w:firstLine="720"/>
        <w:jc w:val="both"/>
        <w:rPr>
          <w:rFonts w:ascii="Abadi" w:hAnsi="Abadi"/>
          <w:sz w:val="24"/>
          <w:szCs w:val="24"/>
          <w:lang w:val="es-E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80"/>
        <w:gridCol w:w="1344"/>
        <w:gridCol w:w="1680"/>
        <w:gridCol w:w="1680"/>
        <w:gridCol w:w="2581"/>
      </w:tblGrid>
      <w:tr w:rsidR="00DF147D" w:rsidRPr="0018255F" w14:paraId="11218B8F" w14:textId="77777777" w:rsidTr="0018255F">
        <w:tc>
          <w:tcPr>
            <w:tcW w:w="28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D034454" w14:textId="77777777" w:rsidR="00DF147D" w:rsidRPr="0018255F" w:rsidRDefault="00000000" w:rsidP="0018255F">
            <w:pPr>
              <w:ind w:right="-90"/>
              <w:jc w:val="center"/>
              <w:rPr>
                <w:rFonts w:ascii="Abadi" w:hAnsi="Abadi"/>
                <w:lang w:val="es-ES"/>
              </w:rPr>
            </w:pPr>
            <w:r>
              <w:rPr>
                <w:rFonts w:ascii="Abadi" w:eastAsia="Calibri" w:hAnsi="Abadi" w:cs="Calibri"/>
                <w:b/>
                <w:bCs/>
                <w:color w:val="FFFFFF"/>
                <w:lang w:val="es-ES"/>
              </w:rPr>
              <w:t>Indicador</w:t>
            </w:r>
          </w:p>
        </w:tc>
        <w:tc>
          <w:tcPr>
            <w:tcW w:w="1344"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160F96C" w14:textId="77777777" w:rsidR="00DF147D" w:rsidRPr="0018255F" w:rsidRDefault="00000000" w:rsidP="0018255F">
            <w:pPr>
              <w:ind w:right="-90"/>
              <w:jc w:val="center"/>
              <w:rPr>
                <w:rFonts w:ascii="Abadi" w:hAnsi="Abadi"/>
                <w:lang w:val="es-ES"/>
              </w:rPr>
            </w:pPr>
            <w:r>
              <w:rPr>
                <w:rFonts w:ascii="Abadi" w:eastAsia="Calibri" w:hAnsi="Abadi" w:cs="Calibri"/>
                <w:b/>
                <w:bCs/>
                <w:color w:val="FFFFFF"/>
                <w:lang w:val="es-ES"/>
              </w:rPr>
              <w:t>2023</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04D72D6" w14:textId="77777777" w:rsidR="00DF147D" w:rsidRPr="0018255F" w:rsidRDefault="00000000" w:rsidP="0018255F">
            <w:pPr>
              <w:ind w:right="-90"/>
              <w:jc w:val="center"/>
              <w:rPr>
                <w:rFonts w:ascii="Abadi" w:hAnsi="Abadi"/>
                <w:lang w:val="es-ES"/>
              </w:rPr>
            </w:pPr>
            <w:r>
              <w:rPr>
                <w:rFonts w:ascii="Abadi" w:eastAsia="Calibri" w:hAnsi="Abadi" w:cs="Calibri"/>
                <w:b/>
                <w:bCs/>
                <w:color w:val="FFFFFF"/>
                <w:lang w:val="es-ES"/>
              </w:rPr>
              <w:t>2024 (est.)</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63B43FA" w14:textId="77777777" w:rsidR="00DF147D" w:rsidRPr="0018255F" w:rsidRDefault="00000000" w:rsidP="0018255F">
            <w:pPr>
              <w:ind w:right="-90"/>
              <w:jc w:val="center"/>
              <w:rPr>
                <w:rFonts w:ascii="Abadi" w:hAnsi="Abadi"/>
                <w:lang w:val="es-ES"/>
              </w:rPr>
            </w:pPr>
            <w:r>
              <w:rPr>
                <w:rFonts w:ascii="Abadi" w:eastAsia="Calibri" w:hAnsi="Abadi" w:cs="Calibri"/>
                <w:b/>
                <w:bCs/>
                <w:color w:val="FFFFFF"/>
                <w:lang w:val="es-ES"/>
              </w:rPr>
              <w:t>2025 (proy.)</w:t>
            </w:r>
          </w:p>
        </w:tc>
        <w:tc>
          <w:tcPr>
            <w:tcW w:w="2581"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2AAB8532" w14:textId="77777777" w:rsidR="00DF147D" w:rsidRPr="0018255F" w:rsidRDefault="00000000" w:rsidP="0018255F">
            <w:pPr>
              <w:ind w:right="-90"/>
              <w:jc w:val="center"/>
              <w:rPr>
                <w:rFonts w:ascii="Abadi" w:hAnsi="Abadi"/>
                <w:lang w:val="es-ES"/>
              </w:rPr>
            </w:pPr>
            <w:r>
              <w:rPr>
                <w:rFonts w:ascii="Abadi" w:eastAsia="Calibri" w:hAnsi="Abadi" w:cs="Calibri"/>
                <w:b/>
                <w:bCs/>
                <w:color w:val="FFFFFF"/>
                <w:lang w:val="es-ES"/>
              </w:rPr>
              <w:t>Fuente</w:t>
            </w:r>
          </w:p>
        </w:tc>
      </w:tr>
      <w:tr w:rsidR="00DF147D" w:rsidRPr="0018255F" w14:paraId="465DC688"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EF3AFDC"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Crecimiento PIB real</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5AE6CA0"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+3%</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F8A30EF"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+3%</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3840F93"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+9.32% (Q1)</w:t>
            </w:r>
          </w:p>
        </w:tc>
        <w:tc>
          <w:tcPr>
            <w:tcW w:w="2581"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C565091"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FMI / BCV</w:t>
            </w:r>
          </w:p>
        </w:tc>
      </w:tr>
      <w:tr w:rsidR="00DF147D" w:rsidRPr="0018255F" w14:paraId="587021E8"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69632FD"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Inflación anual (IPC)</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B2ED6C0"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~190%</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EF1381F"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~120%</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702FC31"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~60-80%</w:t>
            </w:r>
          </w:p>
        </w:tc>
        <w:tc>
          <w:tcPr>
            <w:tcW w:w="2581"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891B241"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BCV / PNUD</w:t>
            </w:r>
          </w:p>
        </w:tc>
      </w:tr>
      <w:tr w:rsidR="00DF147D" w:rsidRPr="0018255F" w14:paraId="0C1BAB8D"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0D1A742"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Dolarización de facto</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60A70FB"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~65-70%</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99D3D80"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~70-75%</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04D3C0D"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~75-80%</w:t>
            </w:r>
          </w:p>
        </w:tc>
        <w:tc>
          <w:tcPr>
            <w:tcW w:w="2581"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E05B5C9"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Ecoanalítica</w:t>
            </w:r>
          </w:p>
        </w:tc>
      </w:tr>
      <w:tr w:rsidR="00DF147D" w:rsidRPr="0018255F" w14:paraId="6E135D71"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C90F74C"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Reservas internacionales</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06BE57F"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~$9B</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64FE62B"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~$10B</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23DDFD6"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N/D</w:t>
            </w:r>
          </w:p>
        </w:tc>
        <w:tc>
          <w:tcPr>
            <w:tcW w:w="2581"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AC0B603"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BCV</w:t>
            </w:r>
          </w:p>
        </w:tc>
      </w:tr>
      <w:tr w:rsidR="00DF147D" w:rsidRPr="0018255F" w14:paraId="3BEFEDC0"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7F4AC69"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Remesas recibidas</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0873BCC"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~$4-5B/año</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F0DBA21"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~$5B</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CAA6699"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Estable</w:t>
            </w:r>
          </w:p>
        </w:tc>
        <w:tc>
          <w:tcPr>
            <w:tcW w:w="2581"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02EBC06"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BCV / IFAD</w:t>
            </w:r>
          </w:p>
        </w:tc>
      </w:tr>
      <w:tr w:rsidR="00DF147D" w:rsidRPr="0018255F" w14:paraId="112E568A"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E80A1BB"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Exportaciones totales</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7C991F9"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~$17.5B (2024)</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AF1CDDA"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Petróleo &gt;90%</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9732094"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Aumento gradual</w:t>
            </w:r>
          </w:p>
        </w:tc>
        <w:tc>
          <w:tcPr>
            <w:tcW w:w="2581"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0B59553" w14:textId="77777777" w:rsidR="00DF147D" w:rsidRPr="0018255F" w:rsidRDefault="00000000" w:rsidP="0018255F">
            <w:pPr>
              <w:ind w:right="-90"/>
              <w:jc w:val="center"/>
              <w:rPr>
                <w:rFonts w:ascii="Abadi" w:hAnsi="Abadi"/>
                <w:lang w:val="es-ES"/>
              </w:rPr>
            </w:pPr>
            <w:r>
              <w:rPr>
                <w:rFonts w:ascii="Abadi" w:eastAsia="Calibri" w:hAnsi="Abadi" w:cs="Calibri"/>
                <w:color w:val="1A1A1A"/>
                <w:lang w:val="es-ES"/>
              </w:rPr>
              <w:t>Reuters / PDVSA</w:t>
            </w:r>
          </w:p>
        </w:tc>
      </w:tr>
    </w:tbl>
    <w:p w14:paraId="39BAA740" w14:textId="77777777" w:rsidR="00DF147D" w:rsidRPr="0018255F" w:rsidRDefault="00000000" w:rsidP="00A7547F">
      <w:pPr>
        <w:ind w:right="-90"/>
        <w:jc w:val="both"/>
        <w:rPr>
          <w:rFonts w:ascii="Abadi" w:hAnsi="Abadi"/>
          <w:b/>
          <w:bCs/>
          <w:lang w:val="es-ES"/>
        </w:rPr>
      </w:pPr>
      <w:r>
        <w:rPr>
          <w:rFonts w:ascii="Abadi" w:eastAsia="Calibri" w:hAnsi="Abadi" w:cs="Calibri"/>
          <w:b/>
          <w:bCs/>
          <w:i/>
          <w:iCs/>
          <w:lang w:val="es-ES"/>
        </w:rPr>
        <w:t>Fuentes: FMI World Economic Outlook; BCV; PNUD Desempeño Macroeconómico de Venezuela; Ecoanalítica; Finanzas Digital; América Económica.</w:t>
      </w:r>
    </w:p>
    <w:p w14:paraId="602B4698" w14:textId="77777777" w:rsidR="00BD03AE" w:rsidRDefault="00BD03AE" w:rsidP="00BD03AE">
      <w:pPr>
        <w:ind w:right="-90"/>
        <w:jc w:val="both"/>
        <w:rPr>
          <w:rFonts w:ascii="Abadi" w:eastAsia="Calibri" w:hAnsi="Abadi" w:cs="Calibri"/>
          <w:color w:val="1A1A1A"/>
          <w:sz w:val="24"/>
          <w:szCs w:val="24"/>
          <w:lang w:val="es-ES"/>
        </w:rPr>
      </w:pPr>
    </w:p>
    <w:p w14:paraId="12A82063" w14:textId="77777777" w:rsidR="00BD03AE" w:rsidRDefault="00BD03AE" w:rsidP="00BD03AE">
      <w:pPr>
        <w:ind w:right="-90"/>
        <w:jc w:val="both"/>
        <w:rPr>
          <w:rFonts w:ascii="Abadi" w:eastAsia="Calibri" w:hAnsi="Abadi" w:cs="Calibri"/>
          <w:b/>
          <w:bCs/>
          <w:color w:val="1A1A1A"/>
          <w:sz w:val="24"/>
          <w:szCs w:val="24"/>
          <w:lang w:val="es-ES"/>
        </w:rPr>
      </w:pPr>
    </w:p>
    <w:p w14:paraId="70A277B4" w14:textId="5C71BE8D" w:rsidR="00BD03AE" w:rsidRDefault="00000000" w:rsidP="00BD03AE">
      <w:pPr>
        <w:ind w:right="-90"/>
        <w:jc w:val="both"/>
        <w:rPr>
          <w:rFonts w:ascii="Abadi" w:eastAsia="Calibri" w:hAnsi="Abadi" w:cs="Calibri"/>
          <w:b/>
          <w:bCs/>
          <w:color w:val="1A1A1A"/>
          <w:sz w:val="24"/>
          <w:szCs w:val="24"/>
          <w:lang w:val="es-ES"/>
        </w:rPr>
      </w:pPr>
      <w:r>
        <w:rPr>
          <w:rFonts w:ascii="Abadi" w:eastAsia="Calibri" w:hAnsi="Abadi" w:cs="Calibri"/>
          <w:b/>
          <w:bCs/>
          <w:color w:val="1A1A1A"/>
          <w:sz w:val="24"/>
          <w:szCs w:val="24"/>
          <w:lang w:val="es-ES"/>
        </w:rPr>
        <w:t>CEPAL 2026: Venezuela Proyecta Mayor Crecimiento de América Latina</w:t>
      </w:r>
    </w:p>
    <w:p w14:paraId="1032122E" w14:textId="77777777" w:rsidR="00BD03AE" w:rsidRDefault="00BD03AE" w:rsidP="00BD03AE">
      <w:pPr>
        <w:ind w:right="-90"/>
        <w:jc w:val="both"/>
        <w:rPr>
          <w:rFonts w:ascii="Abadi" w:eastAsia="Calibri" w:hAnsi="Abadi" w:cs="Calibri"/>
          <w:b/>
          <w:bCs/>
          <w:color w:val="1A1A1A"/>
          <w:sz w:val="24"/>
          <w:szCs w:val="24"/>
          <w:lang w:val="es-ES"/>
        </w:rPr>
      </w:pPr>
    </w:p>
    <w:p w14:paraId="02A43B36" w14:textId="23D7284F" w:rsidR="00DF147D" w:rsidRDefault="00000000" w:rsidP="00BD03AE">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La Comisión Económica para América Latina y el Caribe (CEPAL) proyecta para Venezuela un crecimiento del PIB real de 6,5% en 2026, la tasa más alta de toda América Latina, en un contexto donde el promedio regional se sitúa en aproximadamente 2,0%. Este desempeño excepcional refleja la confluencia del auge petrolero, la expansión del comercio dolarizado, la reactivación de acuerdos de inversión bilateral y la reducción —aún parcial— del riesgo país derivada del proceso negociador político. El sector turístico, prácticamente inactivo durante una década, comienza a mostrar señales de reactivación ante la normalización gradual de las condiciones de seguridad y la mejora de la infraestructura hotelera en los principales destinos. La estabilización cambiaria y la dolarización de facto continúan siendo los pilares de la recuperación del consumo interno y la confianza empresarial.</w:t>
      </w:r>
    </w:p>
    <w:p w14:paraId="247F1AE6" w14:textId="77777777" w:rsidR="00BD03AE" w:rsidRDefault="00BD03AE" w:rsidP="00A7547F">
      <w:pPr>
        <w:ind w:right="-90"/>
        <w:jc w:val="both"/>
        <w:rPr>
          <w:rFonts w:ascii="Abadi" w:hAnsi="Abadi"/>
          <w:i/>
          <w:iCs/>
          <w:color w:val="595959"/>
          <w:sz w:val="18"/>
          <w:szCs w:val="18"/>
          <w:lang w:val="es-ES"/>
        </w:rPr>
      </w:pPr>
    </w:p>
    <w:p w14:paraId="71802E54" w14:textId="4783C08F" w:rsidR="00DF147D" w:rsidRPr="00BD03AE" w:rsidRDefault="00000000" w:rsidP="00A7547F">
      <w:pPr>
        <w:ind w:right="-90"/>
        <w:jc w:val="both"/>
        <w:rPr>
          <w:rFonts w:ascii="Abadi" w:hAnsi="Abadi"/>
          <w:b/>
          <w:bCs/>
          <w:i/>
          <w:iCs/>
          <w:sz w:val="18"/>
          <w:szCs w:val="18"/>
          <w:lang w:val="es-ES"/>
        </w:rPr>
      </w:pPr>
      <w:r w:rsidRPr="00BD03AE">
        <w:rPr>
          <w:rFonts w:ascii="Abadi" w:hAnsi="Abadi"/>
          <w:b/>
          <w:bCs/>
          <w:i/>
          <w:iCs/>
          <w:sz w:val="18"/>
          <w:szCs w:val="18"/>
          <w:lang w:val="es-ES"/>
        </w:rPr>
        <w:t>Fuentes: CEPAL, Panorama Económico y Social de América Latina 2026 (octubre 2026); FMI, World Economic Outlook Update octubre 2026; BCV, datos preliminares 2026.</w:t>
      </w:r>
    </w:p>
    <w:p w14:paraId="5D7E30B2" w14:textId="77777777" w:rsidR="00DF147D" w:rsidRPr="00FF37C1" w:rsidRDefault="00DF147D" w:rsidP="00A7547F">
      <w:pPr>
        <w:ind w:right="-90"/>
        <w:jc w:val="both"/>
        <w:rPr>
          <w:rFonts w:ascii="Abadi" w:hAnsi="Abadi"/>
          <w:sz w:val="24"/>
          <w:szCs w:val="24"/>
          <w:lang w:val="es-ES"/>
        </w:rPr>
      </w:pPr>
    </w:p>
    <w:p w14:paraId="4D1F07E3"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7.2  La Dolarización y el Nuevo Ecosistema Comercial</w:t>
      </w:r>
    </w:p>
    <w:p w14:paraId="3A7E6688" w14:textId="77777777" w:rsidR="0018255F" w:rsidRDefault="0018255F" w:rsidP="00A7547F">
      <w:pPr>
        <w:ind w:right="-90" w:firstLine="720"/>
        <w:jc w:val="both"/>
        <w:rPr>
          <w:rFonts w:ascii="Abadi" w:eastAsia="Calibri" w:hAnsi="Abadi" w:cs="Calibri"/>
          <w:color w:val="1A1A1A"/>
          <w:sz w:val="24"/>
          <w:szCs w:val="24"/>
          <w:lang w:val="es-ES"/>
        </w:rPr>
      </w:pPr>
    </w:p>
    <w:p w14:paraId="1E304BCC"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El proceso de dolarización de facto, iniciado como política implícita en 2019 y consolidado hacia 2021, ha generado un ecosistema dual: una economía formal dolarizada concentrada en Caracas, Valencia y Maracaibo, y una economía informal bolivarizada en el interior del país. Esta dualidad genera graves desigualdades en el acceso a bienes y servicios.</w:t>
      </w:r>
    </w:p>
    <w:p w14:paraId="3DD88329" w14:textId="77777777" w:rsidR="0018255F" w:rsidRPr="00FF37C1" w:rsidRDefault="0018255F" w:rsidP="00A7547F">
      <w:pPr>
        <w:ind w:right="-90" w:firstLine="720"/>
        <w:jc w:val="both"/>
        <w:rPr>
          <w:rFonts w:ascii="Abadi" w:hAnsi="Abadi"/>
          <w:sz w:val="24"/>
          <w:szCs w:val="24"/>
          <w:lang w:val="es-ES"/>
        </w:rPr>
      </w:pPr>
    </w:p>
    <w:p w14:paraId="362CA29F"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La dolarización ha contribuido a la relativa estabilización de los precios en el sector transable y ha impulsado el consumo de bienes importados. Sin embargo, el acceso a crédito productivo en dólares es prácticamente inexistente para las PyMEs, limitando el efecto multiplicador de la recuperación sobre el aparato productivo no petrolero.</w:t>
      </w:r>
    </w:p>
    <w:p w14:paraId="696788B9" w14:textId="77777777" w:rsidR="0018255F" w:rsidRPr="00FF37C1" w:rsidRDefault="0018255F" w:rsidP="00A7547F">
      <w:pPr>
        <w:ind w:right="-90" w:firstLine="720"/>
        <w:jc w:val="both"/>
        <w:rPr>
          <w:rFonts w:ascii="Abadi" w:hAnsi="Abadi"/>
          <w:sz w:val="24"/>
          <w:szCs w:val="24"/>
          <w:lang w:val="es-ES"/>
        </w:rPr>
      </w:pPr>
    </w:p>
    <w:p w14:paraId="43F50EAD"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7.3  Deuda Externa y Marco de Reestructuración</w:t>
      </w:r>
    </w:p>
    <w:p w14:paraId="2B40EB26" w14:textId="77777777" w:rsidR="0018255F" w:rsidRDefault="0018255F" w:rsidP="00A7547F">
      <w:pPr>
        <w:ind w:right="-90" w:firstLine="720"/>
        <w:jc w:val="both"/>
        <w:rPr>
          <w:rFonts w:ascii="Abadi" w:eastAsia="Calibri" w:hAnsi="Abadi" w:cs="Calibri"/>
          <w:color w:val="1A1A1A"/>
          <w:sz w:val="24"/>
          <w:szCs w:val="24"/>
          <w:lang w:val="es-ES"/>
        </w:rPr>
      </w:pPr>
    </w:p>
    <w:p w14:paraId="7489E4A6"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Venezuela acumula pasivos externos estimados en más de USD $150,000 millones, incluyendo bonos soberanos de PDVSA en default desde 2017, deudas con China (estimadas en &gt;$60,000 millones), acuerdos con Rusia (reestructurados parcialmente en 2017-2018), y obligaciones con organismos multilaterales. La reestructuración de esta deuda es una condición esencial para la normalización del acceso de Venezuela a los mercados de capital internacionales.</w:t>
      </w:r>
    </w:p>
    <w:p w14:paraId="691597F5" w14:textId="77777777" w:rsidR="0018255F" w:rsidRPr="00FF37C1" w:rsidRDefault="0018255F" w:rsidP="00A7547F">
      <w:pPr>
        <w:ind w:right="-90" w:firstLine="720"/>
        <w:jc w:val="both"/>
        <w:rPr>
          <w:rFonts w:ascii="Abadi" w:hAnsi="Abadi"/>
          <w:sz w:val="24"/>
          <w:szCs w:val="24"/>
          <w:lang w:val="es-E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20"/>
        <w:gridCol w:w="1680"/>
        <w:gridCol w:w="2520"/>
        <w:gridCol w:w="3445"/>
      </w:tblGrid>
      <w:tr w:rsidR="00DF147D" w:rsidRPr="00AA2B3C" w14:paraId="72FF5864" w14:textId="77777777" w:rsidTr="00AA2B3C">
        <w:tc>
          <w:tcPr>
            <w:tcW w:w="252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C738251" w14:textId="77777777" w:rsidR="00DF147D" w:rsidRPr="00AA2B3C" w:rsidRDefault="00000000" w:rsidP="00AA2B3C">
            <w:pPr>
              <w:ind w:right="-90"/>
              <w:jc w:val="center"/>
              <w:rPr>
                <w:rFonts w:ascii="Abadi" w:hAnsi="Abadi"/>
                <w:sz w:val="22"/>
                <w:szCs w:val="22"/>
                <w:lang w:val="es-ES"/>
              </w:rPr>
            </w:pPr>
            <w:r>
              <w:rPr>
                <w:rFonts w:ascii="Abadi" w:eastAsia="Calibri" w:hAnsi="Abadi" w:cs="Calibri"/>
                <w:b/>
                <w:bCs/>
                <w:color w:val="FFFFFF"/>
                <w:sz w:val="22"/>
                <w:szCs w:val="22"/>
                <w:lang w:val="es-ES"/>
              </w:rPr>
              <w:t>Acreedor</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65B6857" w14:textId="77777777" w:rsidR="00DF147D" w:rsidRPr="00AA2B3C" w:rsidRDefault="00000000" w:rsidP="00AA2B3C">
            <w:pPr>
              <w:ind w:right="-90"/>
              <w:jc w:val="center"/>
              <w:rPr>
                <w:rFonts w:ascii="Abadi" w:hAnsi="Abadi"/>
                <w:sz w:val="22"/>
                <w:szCs w:val="22"/>
                <w:lang w:val="es-ES"/>
              </w:rPr>
            </w:pPr>
            <w:r>
              <w:rPr>
                <w:rFonts w:ascii="Abadi" w:eastAsia="Calibri" w:hAnsi="Abadi" w:cs="Calibri"/>
                <w:b/>
                <w:bCs/>
                <w:color w:val="FFFFFF"/>
                <w:sz w:val="22"/>
                <w:szCs w:val="22"/>
                <w:lang w:val="es-ES"/>
              </w:rPr>
              <w:t>Monto Est. (USD B)</w:t>
            </w:r>
          </w:p>
        </w:tc>
        <w:tc>
          <w:tcPr>
            <w:tcW w:w="252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2BBEC8D1" w14:textId="77777777" w:rsidR="00DF147D" w:rsidRPr="00AA2B3C" w:rsidRDefault="00000000" w:rsidP="00AA2B3C">
            <w:pPr>
              <w:ind w:right="-90"/>
              <w:jc w:val="center"/>
              <w:rPr>
                <w:rFonts w:ascii="Abadi" w:hAnsi="Abadi"/>
                <w:sz w:val="22"/>
                <w:szCs w:val="22"/>
                <w:lang w:val="es-ES"/>
              </w:rPr>
            </w:pPr>
            <w:r>
              <w:rPr>
                <w:rFonts w:ascii="Abadi" w:eastAsia="Calibri" w:hAnsi="Abadi" w:cs="Calibri"/>
                <w:b/>
                <w:bCs/>
                <w:color w:val="FFFFFF"/>
                <w:sz w:val="22"/>
                <w:szCs w:val="22"/>
                <w:lang w:val="es-ES"/>
              </w:rPr>
              <w:t>Estado</w:t>
            </w:r>
          </w:p>
        </w:tc>
        <w:tc>
          <w:tcPr>
            <w:tcW w:w="3445"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12AD377" w14:textId="77777777" w:rsidR="00DF147D" w:rsidRPr="00AA2B3C" w:rsidRDefault="00000000" w:rsidP="00AA2B3C">
            <w:pPr>
              <w:ind w:right="-90"/>
              <w:jc w:val="center"/>
              <w:rPr>
                <w:rFonts w:ascii="Abadi" w:hAnsi="Abadi"/>
                <w:sz w:val="22"/>
                <w:szCs w:val="22"/>
                <w:lang w:val="es-ES"/>
              </w:rPr>
            </w:pPr>
            <w:r>
              <w:rPr>
                <w:rFonts w:ascii="Abadi" w:eastAsia="Calibri" w:hAnsi="Abadi" w:cs="Calibri"/>
                <w:b/>
                <w:bCs/>
                <w:color w:val="FFFFFF"/>
                <w:sz w:val="22"/>
                <w:szCs w:val="22"/>
                <w:lang w:val="es-ES"/>
              </w:rPr>
              <w:t>Condición</w:t>
            </w:r>
          </w:p>
        </w:tc>
      </w:tr>
      <w:tr w:rsidR="00DF147D" w:rsidRPr="00CB4A49" w14:paraId="30DE45F9" w14:textId="77777777" w:rsidTr="00AA2B3C">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8EEDE34"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China (CNOOC, CDB, Eximbank)</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ECF3DB2"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&gt;$60B</w:t>
            </w:r>
          </w:p>
        </w:tc>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F7E901C"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Moratorio / pagos en crudo</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56B4FB8"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Principal obstáculo para reestructuración (S&amp;P Global)</w:t>
            </w:r>
          </w:p>
        </w:tc>
      </w:tr>
      <w:tr w:rsidR="00DF147D" w:rsidRPr="00AA2B3C" w14:paraId="439709F2" w14:textId="77777777" w:rsidTr="00AA2B3C">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A2F2C4F"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Bonos Soberanos / PDVSA</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EC3BE25"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~$55-65B</w:t>
            </w:r>
          </w:p>
        </w:tc>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6627D6A"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Default desde 2017</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B721B88"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Proceso OFAC + negociación acreedores</w:t>
            </w:r>
          </w:p>
        </w:tc>
      </w:tr>
      <w:tr w:rsidR="00DF147D" w:rsidRPr="00CB4A49" w14:paraId="2FEFA9B5" w14:textId="77777777" w:rsidTr="00AA2B3C">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4656514"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Rusia (Rosneft, acuerdos)</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0E373C7"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~$10-15B</w:t>
            </w:r>
          </w:p>
        </w:tc>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0DD6606"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Parcialmente cancelado en crudo</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89FA7A8"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Relación en revisión post-captura Maduro</w:t>
            </w:r>
          </w:p>
        </w:tc>
      </w:tr>
      <w:tr w:rsidR="00DF147D" w:rsidRPr="00AA2B3C" w14:paraId="6C0B9F1B" w14:textId="77777777" w:rsidTr="00AA2B3C">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84E433F"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Multilaterales (BID, CAF)</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D768E19"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~$5-8B</w:t>
            </w:r>
          </w:p>
        </w:tc>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8361021"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Acuerdos selectivos activos</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D157A8F" w14:textId="77777777" w:rsidR="00DF147D" w:rsidRPr="00AA2B3C" w:rsidRDefault="00000000" w:rsidP="00AA2B3C">
            <w:pPr>
              <w:ind w:right="-90"/>
              <w:jc w:val="center"/>
              <w:rPr>
                <w:rFonts w:ascii="Abadi" w:hAnsi="Abadi"/>
                <w:sz w:val="22"/>
                <w:szCs w:val="22"/>
                <w:lang w:val="es-ES"/>
              </w:rPr>
            </w:pPr>
            <w:r>
              <w:rPr>
                <w:rFonts w:ascii="Abadi" w:eastAsia="Calibri" w:hAnsi="Abadi" w:cs="Calibri"/>
                <w:color w:val="1A1A1A"/>
                <w:sz w:val="22"/>
                <w:szCs w:val="22"/>
                <w:lang w:val="es-ES"/>
              </w:rPr>
              <w:t>En normalización</w:t>
            </w:r>
          </w:p>
        </w:tc>
      </w:tr>
    </w:tbl>
    <w:p w14:paraId="14E3C306" w14:textId="77777777" w:rsidR="00DF147D" w:rsidRPr="00AA2B3C" w:rsidRDefault="00000000" w:rsidP="00A7547F">
      <w:pPr>
        <w:ind w:right="-90"/>
        <w:jc w:val="both"/>
        <w:rPr>
          <w:rFonts w:ascii="Abadi" w:hAnsi="Abadi"/>
          <w:b/>
          <w:bCs/>
        </w:rPr>
      </w:pPr>
      <w:r>
        <w:rPr>
          <w:rFonts w:ascii="Abadi" w:eastAsia="Calibri" w:hAnsi="Abadi" w:cs="Calibri"/>
          <w:b/>
          <w:bCs/>
          <w:i/>
          <w:iCs/>
          <w:color w:val="000000" w:themeColor="text1"/>
        </w:rPr>
        <w:t>Fuentes: S&amp;P Global (OilNow.gy); The Objective (2026); VOA (deuda rusa); BCV.</w:t>
      </w:r>
    </w:p>
    <w:p w14:paraId="00BD8C88" w14:textId="77777777" w:rsidR="00DF147D" w:rsidRPr="00FF37C1" w:rsidRDefault="00DF147D" w:rsidP="00A7547F">
      <w:pPr>
        <w:ind w:right="-90"/>
        <w:jc w:val="both"/>
        <w:rPr>
          <w:rFonts w:ascii="Abadi" w:hAnsi="Abadi"/>
          <w:sz w:val="24"/>
          <w:szCs w:val="24"/>
        </w:rPr>
      </w:pPr>
    </w:p>
    <w:tbl>
      <w:tblPr>
        <w:tblW w:w="1008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FF37C1" w14:paraId="5A67E81B" w14:textId="77777777">
        <w:tc>
          <w:tcPr>
            <w:tcW w:w="1008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02C4FE99" w14:textId="77777777" w:rsidR="00DF147D" w:rsidRPr="00FF37C1" w:rsidRDefault="00000000" w:rsidP="00A7547F">
            <w:pPr>
              <w:ind w:right="-90"/>
              <w:jc w:val="both"/>
              <w:rPr>
                <w:rFonts w:ascii="Abadi" w:hAnsi="Abadi"/>
                <w:sz w:val="24"/>
                <w:szCs w:val="24"/>
              </w:rPr>
            </w:pPr>
            <w:r>
              <w:rPr>
                <w:rFonts w:ascii="Abadi" w:eastAsia="Calibri" w:hAnsi="Abadi" w:cs="Calibri"/>
                <w:b/>
                <w:bCs/>
                <w:color w:val="FFFFFF"/>
                <w:sz w:val="24"/>
                <w:szCs w:val="24"/>
              </w:rPr>
              <w:t>8.  SEGURIDAD Y RIESGOS OPERACIONALES</w:t>
            </w:r>
          </w:p>
        </w:tc>
      </w:tr>
    </w:tbl>
    <w:p w14:paraId="5F4045CF" w14:textId="77777777" w:rsidR="00AA2B3C" w:rsidRDefault="00AA2B3C" w:rsidP="00A7547F">
      <w:pPr>
        <w:pBdr>
          <w:bottom w:val="single" w:sz="6" w:space="0" w:color="CC0000"/>
        </w:pBdr>
        <w:ind w:right="-90"/>
        <w:jc w:val="both"/>
        <w:rPr>
          <w:rFonts w:ascii="Abadi" w:eastAsia="Calibri" w:hAnsi="Abadi" w:cs="Calibri"/>
          <w:b/>
          <w:bCs/>
          <w:color w:val="1A1A1A"/>
          <w:sz w:val="24"/>
          <w:szCs w:val="24"/>
          <w:lang w:val="es-ES"/>
        </w:rPr>
      </w:pPr>
    </w:p>
    <w:p w14:paraId="3FC2FA4E" w14:textId="77777777" w:rsidR="00DF147D" w:rsidRPr="00FF37C1"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8.1  El Panorama de Seguridad Post-Transición</w:t>
      </w:r>
    </w:p>
    <w:p w14:paraId="36094F97" w14:textId="77777777" w:rsidR="00AA2B3C" w:rsidRDefault="00AA2B3C" w:rsidP="00A7547F">
      <w:pPr>
        <w:ind w:right="-90" w:firstLine="720"/>
        <w:jc w:val="both"/>
        <w:rPr>
          <w:rFonts w:ascii="Abadi" w:eastAsia="Calibri" w:hAnsi="Abadi" w:cs="Calibri"/>
          <w:color w:val="1A1A1A"/>
          <w:sz w:val="24"/>
          <w:szCs w:val="24"/>
          <w:lang w:val="es-ES"/>
        </w:rPr>
      </w:pPr>
    </w:p>
    <w:p w14:paraId="1E3F11C0"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La captura de Maduro y el proceso de transición han alterado profundamente el mapa de seguridad venezolano. La desarticulación parcial del aparato de coerción del SEBIN y el G2 (inteligencia militar) ha generado un vacío que, en algunas regiones, ha sido llenado por actores criminales organizados (pranes, megabandas, estructuras del Tren de Aragua), colectivos chavistas armados y grupos guerrilleros fronterizos.</w:t>
      </w:r>
    </w:p>
    <w:p w14:paraId="7498A792" w14:textId="77777777" w:rsidR="0018255F" w:rsidRPr="00FF37C1" w:rsidRDefault="0018255F" w:rsidP="00A7547F">
      <w:pPr>
        <w:ind w:right="-90" w:firstLine="720"/>
        <w:jc w:val="both"/>
        <w:rPr>
          <w:rFonts w:ascii="Abadi" w:hAnsi="Abadi"/>
          <w:sz w:val="24"/>
          <w:szCs w:val="24"/>
          <w:lang w:val="es-ES"/>
        </w:rPr>
      </w:pPr>
    </w:p>
    <w:tbl>
      <w:tblPr>
        <w:tblW w:w="1008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80"/>
        <w:gridCol w:w="1344"/>
        <w:gridCol w:w="1680"/>
        <w:gridCol w:w="4176"/>
      </w:tblGrid>
      <w:tr w:rsidR="00DF147D" w:rsidRPr="0018255F" w14:paraId="3562E4C2" w14:textId="77777777" w:rsidTr="0018255F">
        <w:tc>
          <w:tcPr>
            <w:tcW w:w="28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F618E6B"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Vector de Riesgo</w:t>
            </w:r>
          </w:p>
        </w:tc>
        <w:tc>
          <w:tcPr>
            <w:tcW w:w="1344"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CA15471"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Nivel (oct. 2026)</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4316E62"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Tendencia</w:t>
            </w:r>
          </w:p>
        </w:tc>
        <w:tc>
          <w:tcPr>
            <w:tcW w:w="417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7647ED8"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Área Geográfica</w:t>
            </w:r>
          </w:p>
        </w:tc>
      </w:tr>
      <w:tr w:rsidR="00DF147D" w:rsidRPr="0018255F" w14:paraId="753E490B"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DEEBA79"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Crimen organizado urbano</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A747F30"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ALTO</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2401600"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Estable/decreciente</w:t>
            </w:r>
          </w:p>
        </w:tc>
        <w:tc>
          <w:tcPr>
            <w:tcW w:w="417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F98D55F"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Caracas, Valencia, Maracaibo</w:t>
            </w:r>
          </w:p>
        </w:tc>
      </w:tr>
      <w:tr w:rsidR="00DF147D" w:rsidRPr="0018255F" w14:paraId="686B7108"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185194A"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Grupos armados irregulares</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A28141C"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MUY ALTO</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E984320"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Persistente</w:t>
            </w:r>
          </w:p>
        </w:tc>
        <w:tc>
          <w:tcPr>
            <w:tcW w:w="417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253EB03"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Apure, Bolívar, Amazonas, Táchira</w:t>
            </w:r>
          </w:p>
        </w:tc>
      </w:tr>
      <w:tr w:rsidR="00DF147D" w:rsidRPr="0018255F" w14:paraId="6C287DE8"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CDC40C8"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Crimen fronterizo</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8AE39AF"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MUY ALTO</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EE7C052"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Creciente</w:t>
            </w:r>
          </w:p>
        </w:tc>
        <w:tc>
          <w:tcPr>
            <w:tcW w:w="417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BC9EA25"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Fronteras Colombia, Brasil, Guyana</w:t>
            </w:r>
          </w:p>
        </w:tc>
      </w:tr>
      <w:tr w:rsidR="00DF147D" w:rsidRPr="0018255F" w14:paraId="0E2F6069"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8731FC5"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Inestabilidad política</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396B763"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ALTO</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8061D3D"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Decreciente</w:t>
            </w:r>
          </w:p>
        </w:tc>
        <w:tc>
          <w:tcPr>
            <w:tcW w:w="417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D9CA9EA"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Nacional</w:t>
            </w:r>
          </w:p>
        </w:tc>
      </w:tr>
      <w:tr w:rsidR="00DF147D" w:rsidRPr="0018255F" w14:paraId="1C91FF3A"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A924CEC"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Corrupción institucional</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99DDD16"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MUY ALTO</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8378FA6"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Persistente</w:t>
            </w:r>
          </w:p>
        </w:tc>
        <w:tc>
          <w:tcPr>
            <w:tcW w:w="417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68EBA68"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Nacional</w:t>
            </w:r>
          </w:p>
        </w:tc>
      </w:tr>
      <w:tr w:rsidR="00DF147D" w:rsidRPr="0018255F" w14:paraId="7601DC32" w14:textId="77777777" w:rsidTr="0018255F">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7F90693"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Riesgo operacional energético</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77DF93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ALTO</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6CE753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Decreciente (con inversión)</w:t>
            </w:r>
          </w:p>
        </w:tc>
        <w:tc>
          <w:tcPr>
            <w:tcW w:w="417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973AEB3"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Cuencas petroleras, SEN</w:t>
            </w:r>
          </w:p>
        </w:tc>
      </w:tr>
    </w:tbl>
    <w:p w14:paraId="40695BD5" w14:textId="77777777" w:rsidR="00DF147D" w:rsidRPr="00FF37C1" w:rsidRDefault="00DF147D" w:rsidP="00A7547F">
      <w:pPr>
        <w:ind w:right="-90"/>
        <w:jc w:val="both"/>
        <w:rPr>
          <w:rFonts w:ascii="Abadi" w:hAnsi="Abadi"/>
          <w:sz w:val="24"/>
          <w:szCs w:val="24"/>
        </w:rPr>
      </w:pPr>
    </w:p>
    <w:p w14:paraId="24F4C2FD" w14:textId="77777777" w:rsidR="0018255F" w:rsidRDefault="0018255F" w:rsidP="00A7547F">
      <w:pPr>
        <w:pBdr>
          <w:bottom w:val="single" w:sz="6" w:space="0" w:color="CC0000"/>
        </w:pBdr>
        <w:ind w:right="-90"/>
        <w:jc w:val="both"/>
        <w:rPr>
          <w:rFonts w:ascii="Abadi" w:eastAsia="Calibri" w:hAnsi="Abadi" w:cs="Calibri"/>
          <w:b/>
          <w:bCs/>
          <w:color w:val="1A1A1A"/>
          <w:sz w:val="24"/>
          <w:szCs w:val="24"/>
        </w:rPr>
      </w:pPr>
    </w:p>
    <w:p w14:paraId="5CE917C2" w14:textId="77777777" w:rsidR="00DF147D" w:rsidRPr="0018255F"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lastRenderedPageBreak/>
        <w:t>8.2  Redes Transnacionales y Crimen Organizado</w:t>
      </w:r>
    </w:p>
    <w:p w14:paraId="754161FD" w14:textId="77777777" w:rsidR="0018255F" w:rsidRDefault="0018255F" w:rsidP="00A7547F">
      <w:pPr>
        <w:ind w:right="-90" w:firstLine="720"/>
        <w:jc w:val="both"/>
        <w:rPr>
          <w:rFonts w:ascii="Abadi" w:eastAsia="Calibri" w:hAnsi="Abadi" w:cs="Calibri"/>
          <w:color w:val="1A1A1A"/>
          <w:sz w:val="24"/>
          <w:szCs w:val="24"/>
          <w:lang w:val="es-ES"/>
        </w:rPr>
      </w:pPr>
    </w:p>
    <w:p w14:paraId="6859120E"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El Tren de Aragua, originado en el estado Aragua durante el período 2014-2018, ha expandido su presencia a más de 15 países de América Latina y el Caribe, incluyendo Chile, Colombia, Perú y Estados Unidos. La organización opera como un conglomerado criminal transnacional con actividades en extorsión, tráfico de personas, sicariato y narcotráfico.</w:t>
      </w:r>
    </w:p>
    <w:p w14:paraId="3C1699B3" w14:textId="77777777" w:rsidR="00AA2B3C" w:rsidRPr="00FF37C1" w:rsidRDefault="00AA2B3C" w:rsidP="00A7547F">
      <w:pPr>
        <w:ind w:right="-90" w:firstLine="720"/>
        <w:jc w:val="both"/>
        <w:rPr>
          <w:rFonts w:ascii="Abadi" w:hAnsi="Abadi"/>
          <w:sz w:val="24"/>
          <w:szCs w:val="24"/>
          <w:lang w:val="es-ES"/>
        </w:rPr>
      </w:pPr>
    </w:p>
    <w:p w14:paraId="4A13301C" w14:textId="77777777" w:rsidR="00DF147D" w:rsidRPr="00FF37C1" w:rsidRDefault="00000000" w:rsidP="00A7547F">
      <w:pPr>
        <w:ind w:right="-90" w:firstLine="720"/>
        <w:jc w:val="both"/>
        <w:rPr>
          <w:rFonts w:ascii="Abadi" w:hAnsi="Abadi"/>
          <w:sz w:val="24"/>
          <w:szCs w:val="24"/>
          <w:lang w:val="es-ES"/>
        </w:rPr>
      </w:pPr>
      <w:r>
        <w:rPr>
          <w:rFonts w:ascii="Abadi" w:eastAsia="Calibri" w:hAnsi="Abadi" w:cs="Calibri"/>
          <w:color w:val="1A1A1A"/>
          <w:sz w:val="24"/>
          <w:szCs w:val="24"/>
          <w:lang w:val="es-ES"/>
        </w:rPr>
        <w:t>Las FARC disidentes (principalmente Estado Mayor Central) y el ELN colombiano mantienen presencia activa en los estados fronterizos venezolanos, especialmente Apure, Táchira y Zulia, donde controlan rutas de narcotráfico y economías ilegales de extracción minera. El proceso de transición venezolano no ha alterado fundamentalmente esta geografía criminal.</w:t>
      </w:r>
    </w:p>
    <w:p w14:paraId="5D2971F8" w14:textId="77777777" w:rsidR="00DF147D" w:rsidRPr="00FF37C1" w:rsidRDefault="00DF147D" w:rsidP="00A7547F">
      <w:pPr>
        <w:ind w:right="-90"/>
        <w:jc w:val="both"/>
        <w:rPr>
          <w:rFonts w:ascii="Abadi" w:hAnsi="Abadi"/>
          <w:sz w:val="24"/>
          <w:szCs w:val="24"/>
          <w:lang w:val="es-ES"/>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CB4A49" w14:paraId="7856B4E1" w14:textId="77777777" w:rsidTr="0018255F">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1A062218" w14:textId="77777777" w:rsidR="00DF147D" w:rsidRPr="00FF37C1" w:rsidRDefault="00000000" w:rsidP="00A7547F">
            <w:pPr>
              <w:ind w:right="-90"/>
              <w:jc w:val="both"/>
              <w:rPr>
                <w:rFonts w:ascii="Abadi" w:hAnsi="Abadi"/>
                <w:sz w:val="24"/>
                <w:szCs w:val="24"/>
                <w:lang w:val="es-ES"/>
              </w:rPr>
            </w:pPr>
            <w:r>
              <w:rPr>
                <w:rFonts w:ascii="Abadi" w:eastAsia="Calibri" w:hAnsi="Abadi" w:cs="Calibri"/>
                <w:b/>
                <w:bCs/>
                <w:color w:val="FFFFFF"/>
                <w:sz w:val="24"/>
                <w:szCs w:val="24"/>
                <w:lang w:val="es-ES"/>
              </w:rPr>
              <w:t>9.  MATRIZ DE OPORTUNIDADES Y RECOMENDACIONES ESTRATÉGICAS</w:t>
            </w:r>
          </w:p>
        </w:tc>
      </w:tr>
    </w:tbl>
    <w:p w14:paraId="3166047D" w14:textId="77777777" w:rsidR="0018255F" w:rsidRDefault="0018255F" w:rsidP="00A7547F">
      <w:pPr>
        <w:pBdr>
          <w:bottom w:val="single" w:sz="6" w:space="0" w:color="CC0000"/>
        </w:pBdr>
        <w:ind w:right="-90"/>
        <w:jc w:val="both"/>
        <w:rPr>
          <w:rFonts w:ascii="Abadi" w:eastAsia="Calibri" w:hAnsi="Abadi" w:cs="Calibri"/>
          <w:b/>
          <w:bCs/>
          <w:color w:val="1A1A1A"/>
          <w:sz w:val="24"/>
          <w:szCs w:val="24"/>
          <w:lang w:val="es-ES"/>
        </w:rPr>
      </w:pPr>
    </w:p>
    <w:p w14:paraId="31C706DA" w14:textId="77777777" w:rsidR="00DF147D" w:rsidRDefault="00000000" w:rsidP="00A7547F">
      <w:pPr>
        <w:pBdr>
          <w:bottom w:val="single" w:sz="6" w:space="0" w:color="CC0000"/>
        </w:pBdr>
        <w:ind w:right="-90"/>
        <w:jc w:val="both"/>
        <w:rPr>
          <w:rFonts w:ascii="Abadi" w:eastAsia="Calibri" w:hAnsi="Abadi" w:cs="Calibri"/>
          <w:b/>
          <w:bCs/>
          <w:color w:val="1A1A1A"/>
          <w:sz w:val="24"/>
          <w:szCs w:val="24"/>
          <w:lang w:val="es-ES"/>
        </w:rPr>
      </w:pPr>
      <w:r>
        <w:rPr>
          <w:rFonts w:ascii="Abadi" w:eastAsia="Calibri" w:hAnsi="Abadi" w:cs="Calibri"/>
          <w:b/>
          <w:bCs/>
          <w:color w:val="1A1A1A"/>
          <w:sz w:val="24"/>
          <w:szCs w:val="24"/>
          <w:lang w:val="es-ES"/>
        </w:rPr>
        <w:t>9.1  Matriz de Oportunidades para Operadores Privados</w:t>
      </w:r>
    </w:p>
    <w:p w14:paraId="3B5EB210" w14:textId="77777777" w:rsidR="0018255F" w:rsidRPr="00FF37C1" w:rsidRDefault="0018255F" w:rsidP="00A7547F">
      <w:pPr>
        <w:pBdr>
          <w:bottom w:val="single" w:sz="6" w:space="0" w:color="CC0000"/>
        </w:pBdr>
        <w:ind w:right="-90"/>
        <w:jc w:val="both"/>
        <w:rPr>
          <w:rFonts w:ascii="Abadi" w:hAnsi="Abadi"/>
          <w:sz w:val="24"/>
          <w:szCs w:val="24"/>
          <w:lang w:val="es-ES"/>
        </w:rPr>
      </w:pPr>
    </w:p>
    <w:tbl>
      <w:tblPr>
        <w:tblW w:w="1017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20"/>
        <w:gridCol w:w="3528"/>
        <w:gridCol w:w="1680"/>
        <w:gridCol w:w="2442"/>
      </w:tblGrid>
      <w:tr w:rsidR="00DF147D" w:rsidRPr="0018255F" w14:paraId="2B6EEA8E" w14:textId="77777777" w:rsidTr="0018255F">
        <w:tc>
          <w:tcPr>
            <w:tcW w:w="2520" w:type="dxa"/>
            <w:tcBorders>
              <w:top w:val="none" w:sz="0" w:space="0" w:color="FFFFFF"/>
              <w:left w:val="none" w:sz="0" w:space="0" w:color="FFFFFF"/>
              <w:bottom w:val="none" w:sz="0" w:space="0" w:color="FFFFFF"/>
              <w:right w:val="single" w:sz="4" w:space="0" w:color="666666"/>
            </w:tcBorders>
            <w:shd w:val="clear" w:color="auto" w:fill="1B2A4A"/>
            <w:tcMar>
              <w:top w:w="60" w:type="dxa"/>
              <w:left w:w="100" w:type="dxa"/>
              <w:bottom w:w="60" w:type="dxa"/>
              <w:right w:w="80" w:type="dxa"/>
            </w:tcMar>
            <w:vAlign w:val="center"/>
          </w:tcPr>
          <w:p w14:paraId="3AE1D3A0"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Vector Estratégico</w:t>
            </w:r>
          </w:p>
        </w:tc>
        <w:tc>
          <w:tcPr>
            <w:tcW w:w="3528" w:type="dxa"/>
            <w:tcBorders>
              <w:top w:val="none" w:sz="0" w:space="0" w:color="FFFFFF"/>
              <w:left w:val="none" w:sz="0" w:space="0" w:color="FFFFFF"/>
              <w:bottom w:val="none" w:sz="0" w:space="0" w:color="FFFFFF"/>
              <w:right w:val="single" w:sz="4" w:space="0" w:color="666666"/>
            </w:tcBorders>
            <w:shd w:val="clear" w:color="auto" w:fill="1B2A4A"/>
            <w:tcMar>
              <w:top w:w="60" w:type="dxa"/>
              <w:left w:w="100" w:type="dxa"/>
              <w:bottom w:w="60" w:type="dxa"/>
              <w:right w:w="80" w:type="dxa"/>
            </w:tcMar>
            <w:vAlign w:val="center"/>
          </w:tcPr>
          <w:p w14:paraId="0480635E"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Descripción de Oportunidad</w:t>
            </w:r>
          </w:p>
        </w:tc>
        <w:tc>
          <w:tcPr>
            <w:tcW w:w="1680" w:type="dxa"/>
            <w:tcBorders>
              <w:top w:val="none" w:sz="0" w:space="0" w:color="FFFFFF"/>
              <w:left w:val="none" w:sz="0" w:space="0" w:color="FFFFFF"/>
              <w:bottom w:val="none" w:sz="0" w:space="0" w:color="FFFFFF"/>
              <w:right w:val="single" w:sz="4" w:space="0" w:color="666666"/>
            </w:tcBorders>
            <w:shd w:val="clear" w:color="auto" w:fill="1B2A4A"/>
            <w:tcMar>
              <w:top w:w="60" w:type="dxa"/>
              <w:left w:w="100" w:type="dxa"/>
              <w:bottom w:w="60" w:type="dxa"/>
              <w:right w:w="80" w:type="dxa"/>
            </w:tcMar>
            <w:vAlign w:val="center"/>
          </w:tcPr>
          <w:p w14:paraId="4C70B024"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Horizonte</w:t>
            </w:r>
          </w:p>
        </w:tc>
        <w:tc>
          <w:tcPr>
            <w:tcW w:w="2442" w:type="dxa"/>
            <w:tcBorders>
              <w:top w:val="none" w:sz="0" w:space="0" w:color="FFFFFF"/>
              <w:left w:val="none" w:sz="0" w:space="0" w:color="FFFFFF"/>
              <w:bottom w:val="none" w:sz="0" w:space="0" w:color="FFFFFF"/>
              <w:right w:val="single" w:sz="4" w:space="0" w:color="666666"/>
            </w:tcBorders>
            <w:shd w:val="clear" w:color="auto" w:fill="1B2A4A"/>
            <w:tcMar>
              <w:top w:w="60" w:type="dxa"/>
              <w:left w:w="100" w:type="dxa"/>
              <w:bottom w:w="60" w:type="dxa"/>
              <w:right w:w="80" w:type="dxa"/>
            </w:tcMar>
            <w:vAlign w:val="center"/>
          </w:tcPr>
          <w:p w14:paraId="1A222840" w14:textId="77777777" w:rsidR="00DF147D" w:rsidRPr="0018255F" w:rsidRDefault="00000000" w:rsidP="0018255F">
            <w:pPr>
              <w:ind w:right="-90"/>
              <w:jc w:val="center"/>
              <w:rPr>
                <w:rFonts w:ascii="Abadi" w:hAnsi="Abadi"/>
                <w:sz w:val="22"/>
                <w:szCs w:val="22"/>
                <w:lang w:val="es-ES"/>
              </w:rPr>
            </w:pPr>
            <w:r>
              <w:rPr>
                <w:rFonts w:ascii="Abadi" w:eastAsia="Calibri" w:hAnsi="Abadi" w:cs="Calibri"/>
                <w:b/>
                <w:bCs/>
                <w:color w:val="FFFFFF"/>
                <w:sz w:val="22"/>
                <w:szCs w:val="22"/>
                <w:lang w:val="es-ES"/>
              </w:rPr>
              <w:t>Nivel de Riesgo</w:t>
            </w:r>
          </w:p>
        </w:tc>
      </w:tr>
      <w:tr w:rsidR="00DF147D" w:rsidRPr="0018255F" w14:paraId="5928BF72" w14:textId="77777777" w:rsidTr="0018255F">
        <w:tc>
          <w:tcPr>
            <w:tcW w:w="252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5929121E"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Servicios Petroleros Venezuela</w:t>
            </w:r>
          </w:p>
        </w:tc>
        <w:tc>
          <w:tcPr>
            <w:tcW w:w="3528"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17A8DC26"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Empresas de servicios para rehabilitación de infraestructura PDVSA / nuevas joint ventures bajo GL-41 expandida</w:t>
            </w:r>
          </w:p>
        </w:tc>
        <w:tc>
          <w:tcPr>
            <w:tcW w:w="168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441249B6"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2025-2028</w:t>
            </w:r>
          </w:p>
        </w:tc>
        <w:tc>
          <w:tcPr>
            <w:tcW w:w="2442"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0CA2B5E5"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Alto / Alto retorno</w:t>
            </w:r>
          </w:p>
        </w:tc>
      </w:tr>
      <w:tr w:rsidR="00DF147D" w:rsidRPr="0018255F" w14:paraId="2556E28B" w14:textId="77777777" w:rsidTr="0018255F">
        <w:tc>
          <w:tcPr>
            <w:tcW w:w="252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0B456D88"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Gas Natural (Dragón / Mariscal Sucre)</w:t>
            </w:r>
          </w:p>
        </w:tc>
        <w:tc>
          <w:tcPr>
            <w:tcW w:w="3528"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0187AA3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Infraestructura de producción y transporte de gas offshore para mercado europeo y caribeño</w:t>
            </w:r>
          </w:p>
        </w:tc>
        <w:tc>
          <w:tcPr>
            <w:tcW w:w="168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4C99AF1C"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2026-2031</w:t>
            </w:r>
          </w:p>
        </w:tc>
        <w:tc>
          <w:tcPr>
            <w:tcW w:w="2442"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3EDFA8AE"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Alto / Largo plazo</w:t>
            </w:r>
          </w:p>
        </w:tc>
      </w:tr>
      <w:tr w:rsidR="00DF147D" w:rsidRPr="0018255F" w14:paraId="4BFDD026" w14:textId="77777777" w:rsidTr="0018255F">
        <w:tc>
          <w:tcPr>
            <w:tcW w:w="252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113DC55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Electricidad (PPP / Concesiones)</w:t>
            </w:r>
          </w:p>
        </w:tc>
        <w:tc>
          <w:tcPr>
            <w:tcW w:w="3528"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09C8621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Rehabilitación de plantas térmicas y generación distribuida renovable bajo esquemas de concesión</w:t>
            </w:r>
          </w:p>
        </w:tc>
        <w:tc>
          <w:tcPr>
            <w:tcW w:w="168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6767CAC5"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2026-2030</w:t>
            </w:r>
          </w:p>
        </w:tc>
        <w:tc>
          <w:tcPr>
            <w:tcW w:w="2442"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13DACD2C"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Medio-Alto</w:t>
            </w:r>
          </w:p>
        </w:tc>
      </w:tr>
      <w:tr w:rsidR="00DF147D" w:rsidRPr="0018255F" w14:paraId="301643A7" w14:textId="77777777" w:rsidTr="0018255F">
        <w:tc>
          <w:tcPr>
            <w:tcW w:w="252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6327205D"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Minerales Críticos (AMO)</w:t>
            </w:r>
          </w:p>
        </w:tc>
        <w:tc>
          <w:tcPr>
            <w:tcW w:w="3528"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6F11727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Exploración y desarrollo de coltán, tierras raras; contingente a normalización de gobernanza</w:t>
            </w:r>
          </w:p>
        </w:tc>
        <w:tc>
          <w:tcPr>
            <w:tcW w:w="168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0B61218A"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2027-2035</w:t>
            </w:r>
          </w:p>
        </w:tc>
        <w:tc>
          <w:tcPr>
            <w:tcW w:w="2442"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28506A99"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Alto / Largo plazo</w:t>
            </w:r>
          </w:p>
        </w:tc>
      </w:tr>
      <w:tr w:rsidR="00DF147D" w:rsidRPr="0018255F" w14:paraId="4C8F1E31" w14:textId="77777777" w:rsidTr="0018255F">
        <w:tc>
          <w:tcPr>
            <w:tcW w:w="252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612E2FDD"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Agroindustria y Alimentos</w:t>
            </w:r>
          </w:p>
        </w:tc>
        <w:tc>
          <w:tcPr>
            <w:tcW w:w="3528"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43EF151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Recuperación de capacidad productiva en agro; alta demanda interna insatisfecha post-crisis</w:t>
            </w:r>
          </w:p>
        </w:tc>
        <w:tc>
          <w:tcPr>
            <w:tcW w:w="168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4608EB19"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2025-2028</w:t>
            </w:r>
          </w:p>
        </w:tc>
        <w:tc>
          <w:tcPr>
            <w:tcW w:w="2442"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5F2FEC75"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Medio</w:t>
            </w:r>
          </w:p>
        </w:tc>
      </w:tr>
      <w:tr w:rsidR="00DF147D" w:rsidRPr="0018255F" w14:paraId="3F2726A9" w14:textId="77777777" w:rsidTr="0018255F">
        <w:tc>
          <w:tcPr>
            <w:tcW w:w="252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298627E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Logística y Transporte</w:t>
            </w:r>
          </w:p>
        </w:tc>
        <w:tc>
          <w:tcPr>
            <w:tcW w:w="3528"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1AB58430"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Rehabilitación de puertos, carreteras e infraestructura aeroportuaria; nearshoring LATAM</w:t>
            </w:r>
          </w:p>
        </w:tc>
        <w:tc>
          <w:tcPr>
            <w:tcW w:w="168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409CF2EA"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2025-2027</w:t>
            </w:r>
          </w:p>
        </w:tc>
        <w:tc>
          <w:tcPr>
            <w:tcW w:w="2442"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601FCDCD"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Medio-Bajo</w:t>
            </w:r>
          </w:p>
        </w:tc>
      </w:tr>
      <w:tr w:rsidR="00DF147D" w:rsidRPr="0018255F" w14:paraId="3B0072CA" w14:textId="77777777" w:rsidTr="0018255F">
        <w:tc>
          <w:tcPr>
            <w:tcW w:w="252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5C02FE87"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Reestructuración Deuda (Distressed)</w:t>
            </w:r>
          </w:p>
        </w:tc>
        <w:tc>
          <w:tcPr>
            <w:tcW w:w="3528"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79EB78C6"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Arbitraje en mercado secundario de bonos PDVSA / soberanos; alta complejidad jurídica</w:t>
            </w:r>
          </w:p>
        </w:tc>
        <w:tc>
          <w:tcPr>
            <w:tcW w:w="168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59854E2C"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2025-2027</w:t>
            </w:r>
          </w:p>
        </w:tc>
        <w:tc>
          <w:tcPr>
            <w:tcW w:w="2442"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6A14CCC4" w14:textId="77777777" w:rsidR="00DF147D" w:rsidRPr="0018255F" w:rsidRDefault="00000000" w:rsidP="0018255F">
            <w:pPr>
              <w:ind w:right="-90"/>
              <w:jc w:val="center"/>
              <w:rPr>
                <w:rFonts w:ascii="Abadi" w:hAnsi="Abadi"/>
                <w:sz w:val="22"/>
                <w:szCs w:val="22"/>
                <w:lang w:val="es-ES"/>
              </w:rPr>
            </w:pPr>
            <w:r>
              <w:rPr>
                <w:rFonts w:ascii="Abadi" w:eastAsia="Calibri" w:hAnsi="Abadi" w:cs="Calibri"/>
                <w:color w:val="1A1A1A"/>
                <w:sz w:val="22"/>
                <w:szCs w:val="22"/>
                <w:lang w:val="es-ES"/>
              </w:rPr>
              <w:t>Muy Alto / Especializado</w:t>
            </w:r>
          </w:p>
        </w:tc>
      </w:tr>
      <w:tr w:rsidR="00AA2B3C" w:rsidRPr="00CB4A49" w14:paraId="7B04B6C7" w14:textId="77777777" w:rsidTr="0018255F">
        <w:tc>
          <w:tcPr>
            <w:tcW w:w="252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1B408554" w14:textId="77777777" w:rsidR="00AA2B3C" w:rsidRDefault="00AA2B3C" w:rsidP="0018255F">
            <w:pPr>
              <w:ind w:right="-90"/>
              <w:jc w:val="center"/>
              <w:rPr>
                <w:rFonts w:ascii="Abadi" w:eastAsia="Calibri" w:hAnsi="Abadi" w:cs="Calibri"/>
                <w:color w:val="1A1A1A"/>
                <w:sz w:val="22"/>
                <w:szCs w:val="22"/>
                <w:lang w:val="es-ES"/>
              </w:rPr>
            </w:pPr>
            <w:r>
              <w:rPr>
                <w:rFonts w:ascii="Abadi" w:eastAsia="Calibri" w:hAnsi="Abadi" w:cs="Calibri"/>
                <w:color w:val="1A1A1A"/>
                <w:sz w:val="22"/>
                <w:szCs w:val="22"/>
                <w:lang w:val="es-ES"/>
              </w:rPr>
              <w:t xml:space="preserve">Seguridad - Riesgo / LM /Due Diligence </w:t>
            </w:r>
          </w:p>
          <w:p w14:paraId="1547A81B" w14:textId="77777777" w:rsidR="00AA2B3C" w:rsidRDefault="00AA2B3C" w:rsidP="0018255F">
            <w:pPr>
              <w:ind w:right="-90"/>
              <w:jc w:val="center"/>
              <w:rPr>
                <w:rFonts w:ascii="Abadi" w:eastAsia="Calibri" w:hAnsi="Abadi" w:cs="Calibri"/>
                <w:color w:val="1A1A1A"/>
                <w:sz w:val="22"/>
                <w:szCs w:val="22"/>
                <w:lang w:val="es-ES"/>
              </w:rPr>
            </w:pPr>
          </w:p>
          <w:p w14:paraId="7908DD4F" w14:textId="77777777" w:rsidR="00AA2B3C" w:rsidRPr="0018255F" w:rsidRDefault="00AA2B3C" w:rsidP="0018255F">
            <w:pPr>
              <w:ind w:right="-90"/>
              <w:jc w:val="center"/>
              <w:rPr>
                <w:rFonts w:ascii="Abadi" w:eastAsia="Calibri" w:hAnsi="Abadi" w:cs="Calibri"/>
                <w:color w:val="1A1A1A"/>
                <w:sz w:val="22"/>
                <w:szCs w:val="22"/>
                <w:lang w:val="es-ES"/>
              </w:rPr>
            </w:pPr>
          </w:p>
        </w:tc>
        <w:tc>
          <w:tcPr>
            <w:tcW w:w="3528"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641F272B" w14:textId="77777777" w:rsidR="00AA2B3C" w:rsidRPr="0018255F" w:rsidRDefault="00AA2B3C" w:rsidP="0018255F">
            <w:pPr>
              <w:ind w:right="-90"/>
              <w:jc w:val="center"/>
              <w:rPr>
                <w:rFonts w:ascii="Abadi" w:eastAsia="Calibri" w:hAnsi="Abadi" w:cs="Calibri"/>
                <w:color w:val="1A1A1A"/>
                <w:sz w:val="22"/>
                <w:szCs w:val="22"/>
                <w:lang w:val="es-ES"/>
              </w:rPr>
            </w:pPr>
            <w:r>
              <w:rPr>
                <w:rFonts w:ascii="Abadi" w:eastAsia="Calibri" w:hAnsi="Abadi" w:cs="Calibri"/>
                <w:color w:val="1A1A1A"/>
                <w:sz w:val="22"/>
                <w:szCs w:val="22"/>
                <w:lang w:val="es-ES"/>
              </w:rPr>
              <w:t xml:space="preserve">El operar en un ecosistema como en el energético, dentro de un país como Venezuela, requiere del acompañamiento y asesoramiento adecuado para evitar riesgos corporativos, de cumplimiento y vinculados con el lavado de dinero, o realizar alianzas estratégicas con PPE o empresas con reputaciones dudosas, pueden poner en riesgo no solo la inversión, sino también la </w:t>
            </w:r>
            <w:r>
              <w:rPr>
                <w:rFonts w:ascii="Abadi" w:eastAsia="Calibri" w:hAnsi="Abadi" w:cs="Calibri"/>
                <w:color w:val="1A1A1A"/>
                <w:sz w:val="22"/>
                <w:szCs w:val="22"/>
                <w:lang w:val="es-ES"/>
              </w:rPr>
              <w:lastRenderedPageBreak/>
              <w:t>libertad de los representantes de la empresa</w:t>
            </w:r>
          </w:p>
        </w:tc>
        <w:tc>
          <w:tcPr>
            <w:tcW w:w="168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1A2E860C" w14:textId="77777777" w:rsidR="00AA2B3C" w:rsidRPr="0018255F" w:rsidRDefault="00285886" w:rsidP="0018255F">
            <w:pPr>
              <w:ind w:right="-90"/>
              <w:jc w:val="center"/>
              <w:rPr>
                <w:rFonts w:ascii="Abadi" w:eastAsia="Calibri" w:hAnsi="Abadi" w:cs="Calibri"/>
                <w:color w:val="1A1A1A"/>
                <w:sz w:val="22"/>
                <w:szCs w:val="22"/>
                <w:lang w:val="es-ES"/>
              </w:rPr>
            </w:pPr>
            <w:r>
              <w:rPr>
                <w:rFonts w:ascii="Abadi" w:eastAsia="Calibri" w:hAnsi="Abadi" w:cs="Calibri"/>
                <w:color w:val="1A1A1A"/>
                <w:sz w:val="22"/>
                <w:szCs w:val="22"/>
                <w:lang w:val="es-ES"/>
              </w:rPr>
              <w:lastRenderedPageBreak/>
              <w:t>2027 -2030</w:t>
            </w:r>
          </w:p>
        </w:tc>
        <w:tc>
          <w:tcPr>
            <w:tcW w:w="2442"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05D943A5" w14:textId="77777777" w:rsidR="00AA2B3C" w:rsidRPr="0018255F" w:rsidRDefault="00285886" w:rsidP="0018255F">
            <w:pPr>
              <w:ind w:right="-90"/>
              <w:jc w:val="center"/>
              <w:rPr>
                <w:rFonts w:ascii="Abadi" w:eastAsia="Calibri" w:hAnsi="Abadi" w:cs="Calibri"/>
                <w:color w:val="1A1A1A"/>
                <w:sz w:val="22"/>
                <w:szCs w:val="22"/>
                <w:lang w:val="es-ES"/>
              </w:rPr>
            </w:pPr>
            <w:r>
              <w:rPr>
                <w:rFonts w:ascii="Abadi" w:eastAsia="Calibri" w:hAnsi="Abadi" w:cs="Calibri"/>
                <w:color w:val="1A1A1A"/>
                <w:sz w:val="22"/>
                <w:szCs w:val="22"/>
                <w:lang w:val="es-ES"/>
              </w:rPr>
              <w:t>Muy Alto / Especializado como: openforumoilgasmines</w:t>
            </w:r>
          </w:p>
        </w:tc>
      </w:tr>
    </w:tbl>
    <w:p w14:paraId="7EE4E614" w14:textId="77777777" w:rsidR="00DF147D" w:rsidRPr="00AA2B3C" w:rsidRDefault="00DF147D" w:rsidP="00A7547F">
      <w:pPr>
        <w:ind w:right="-90"/>
        <w:jc w:val="both"/>
        <w:rPr>
          <w:rFonts w:ascii="Abadi" w:hAnsi="Abadi"/>
          <w:sz w:val="24"/>
          <w:szCs w:val="24"/>
          <w:lang w:val="es-ES"/>
        </w:rPr>
      </w:pPr>
    </w:p>
    <w:p w14:paraId="2E5B7BC9" w14:textId="77777777" w:rsidR="0018255F" w:rsidRPr="00AA2B3C" w:rsidRDefault="0018255F" w:rsidP="00A7547F">
      <w:pPr>
        <w:pBdr>
          <w:bottom w:val="single" w:sz="6" w:space="0" w:color="CC0000"/>
        </w:pBdr>
        <w:ind w:right="-90"/>
        <w:jc w:val="both"/>
        <w:rPr>
          <w:rFonts w:ascii="Abadi" w:eastAsia="Calibri" w:hAnsi="Abadi" w:cs="Calibri"/>
          <w:b/>
          <w:bCs/>
          <w:color w:val="1A1A1A"/>
          <w:sz w:val="24"/>
          <w:szCs w:val="24"/>
          <w:lang w:val="es-ES"/>
        </w:rPr>
      </w:pPr>
    </w:p>
    <w:p w14:paraId="06A8A4DE" w14:textId="77777777" w:rsidR="00DF147D" w:rsidRPr="0018255F" w:rsidRDefault="00000000" w:rsidP="00A7547F">
      <w:pPr>
        <w:pBdr>
          <w:bottom w:val="single" w:sz="6" w:space="0" w:color="CC0000"/>
        </w:pBdr>
        <w:ind w:right="-90"/>
        <w:jc w:val="both"/>
        <w:rPr>
          <w:rFonts w:ascii="Abadi" w:hAnsi="Abadi"/>
          <w:sz w:val="24"/>
          <w:szCs w:val="24"/>
          <w:lang w:val="es-ES"/>
        </w:rPr>
      </w:pPr>
      <w:r>
        <w:rPr>
          <w:rFonts w:ascii="Abadi" w:eastAsia="Calibri" w:hAnsi="Abadi" w:cs="Calibri"/>
          <w:b/>
          <w:bCs/>
          <w:color w:val="1A1A1A"/>
          <w:sz w:val="24"/>
          <w:szCs w:val="24"/>
          <w:lang w:val="es-ES"/>
        </w:rPr>
        <w:t>9.2  Recomendaciones Estratégicas</w:t>
      </w:r>
    </w:p>
    <w:p w14:paraId="0EC979C5" w14:textId="77777777" w:rsidR="0018255F" w:rsidRPr="0018255F" w:rsidRDefault="0018255F" w:rsidP="00A7547F">
      <w:pPr>
        <w:ind w:right="-90"/>
        <w:jc w:val="both"/>
        <w:rPr>
          <w:rFonts w:ascii="Abadi" w:eastAsia="Calibri" w:hAnsi="Abadi" w:cs="Calibri"/>
          <w:color w:val="1A1A1A"/>
          <w:sz w:val="24"/>
          <w:szCs w:val="24"/>
          <w:lang w:val="es-ES"/>
        </w:rPr>
      </w:pPr>
    </w:p>
    <w:p w14:paraId="625138FB" w14:textId="77777777" w:rsidR="00DF147D" w:rsidRPr="0018255F" w:rsidRDefault="00000000" w:rsidP="00A7547F">
      <w:pPr>
        <w:ind w:right="-90"/>
        <w:jc w:val="both"/>
        <w:rPr>
          <w:rFonts w:ascii="Abadi" w:eastAsia="Calibri" w:hAnsi="Abadi" w:cs="Calibri"/>
          <w:color w:val="1A1A1A"/>
          <w:sz w:val="24"/>
          <w:szCs w:val="24"/>
          <w:lang w:val="es-ES"/>
        </w:rPr>
      </w:pPr>
      <w:r>
        <w:rPr>
          <w:rFonts w:ascii="Abadi" w:eastAsia="Calibri" w:hAnsi="Abadi" w:cs="Calibri"/>
          <w:color w:val="1A1A1A"/>
          <w:sz w:val="24"/>
          <w:szCs w:val="24"/>
          <w:lang w:val="es-ES"/>
        </w:rPr>
        <w:t>Con base en el análisis precedente, se emiten las siguientes recomendaciones para la toma de decisiones en el ámbito de inversión, seguridad energética y posicionamiento estratégico en Venezuela:</w:t>
      </w:r>
    </w:p>
    <w:p w14:paraId="6103DAC9" w14:textId="77777777" w:rsidR="0018255F" w:rsidRPr="00FF37C1" w:rsidRDefault="0018255F" w:rsidP="00A7547F">
      <w:pPr>
        <w:ind w:right="-90"/>
        <w:jc w:val="both"/>
        <w:rPr>
          <w:rFonts w:ascii="Abadi" w:hAnsi="Abadi"/>
          <w:sz w:val="24"/>
          <w:szCs w:val="24"/>
          <w:lang w:val="es-ES"/>
        </w:rPr>
      </w:pPr>
    </w:p>
    <w:p w14:paraId="6BED368C" w14:textId="77777777" w:rsidR="00DF147D" w:rsidRPr="0018255F" w:rsidRDefault="00000000" w:rsidP="0018255F">
      <w:pPr>
        <w:pStyle w:val="Prrafodelista"/>
        <w:numPr>
          <w:ilvl w:val="0"/>
          <w:numId w:val="7"/>
        </w:numPr>
        <w:ind w:right="-90"/>
        <w:jc w:val="both"/>
        <w:rPr>
          <w:rFonts w:ascii="Abadi" w:hAnsi="Abadi"/>
          <w:sz w:val="24"/>
          <w:szCs w:val="24"/>
          <w:lang w:val="es-ES"/>
        </w:rPr>
      </w:pPr>
      <w:r>
        <w:rPr>
          <w:rFonts w:ascii="Abadi" w:eastAsia="Calibri" w:hAnsi="Abadi" w:cs="Calibri"/>
          <w:color w:val="1A1A1A"/>
          <w:sz w:val="24"/>
          <w:szCs w:val="24"/>
          <w:lang w:val="es-ES"/>
        </w:rPr>
        <w:t>Monitoreo continuo del proceso de transición política: el cronograma electoral 2027-2028 y la estabilidad del gobierno de transición son los determinantes primarios del riesgo de inversión en todos los sectores. Establecer indicadores de alerta temprana vinculados al avance institucional.</w:t>
      </w:r>
    </w:p>
    <w:p w14:paraId="0652776C" w14:textId="77777777" w:rsidR="0018255F" w:rsidRPr="0018255F" w:rsidRDefault="0018255F" w:rsidP="0018255F">
      <w:pPr>
        <w:pStyle w:val="Prrafodelista"/>
        <w:ind w:left="720" w:right="-90"/>
        <w:jc w:val="both"/>
        <w:rPr>
          <w:rFonts w:ascii="Abadi" w:hAnsi="Abadi"/>
          <w:sz w:val="24"/>
          <w:szCs w:val="24"/>
          <w:lang w:val="es-ES"/>
        </w:rPr>
      </w:pPr>
    </w:p>
    <w:p w14:paraId="24BC26B4" w14:textId="77777777" w:rsidR="00DF147D" w:rsidRPr="00BD03AE" w:rsidRDefault="00000000" w:rsidP="0018255F">
      <w:pPr>
        <w:pStyle w:val="Prrafodelista"/>
        <w:numPr>
          <w:ilvl w:val="0"/>
          <w:numId w:val="7"/>
        </w:numPr>
        <w:ind w:right="-90"/>
        <w:jc w:val="both"/>
        <w:rPr>
          <w:rFonts w:ascii="Abadi" w:hAnsi="Abadi"/>
          <w:sz w:val="24"/>
          <w:szCs w:val="24"/>
          <w:lang w:val="es-ES"/>
        </w:rPr>
      </w:pPr>
      <w:r>
        <w:rPr>
          <w:rFonts w:ascii="Abadi" w:eastAsia="Calibri" w:hAnsi="Abadi" w:cs="Calibri"/>
          <w:color w:val="1A1A1A"/>
          <w:sz w:val="24"/>
          <w:szCs w:val="24"/>
          <w:lang w:val="es-ES"/>
        </w:rPr>
        <w:t>Posicionamiento en servicios petroleros con horizonte 2025-2028: la demanda de empresas de servicios técnicos y de rehabilitación de infraestructura es inmediata y cuantificable. Riesgo político mitigado por la cobertura de licencias OFAC para operaciones bajo el acuerdo energético EE.UU.-Venezuela.</w:t>
      </w:r>
    </w:p>
    <w:p w14:paraId="2E6F18BC" w14:textId="77777777" w:rsidR="00BD03AE" w:rsidRPr="00BD03AE" w:rsidRDefault="00BD03AE" w:rsidP="00BD03AE">
      <w:pPr>
        <w:ind w:right="-90"/>
        <w:jc w:val="both"/>
        <w:rPr>
          <w:rFonts w:ascii="Abadi" w:hAnsi="Abadi"/>
          <w:sz w:val="24"/>
          <w:szCs w:val="24"/>
          <w:lang w:val="es-ES"/>
        </w:rPr>
      </w:pPr>
    </w:p>
    <w:p w14:paraId="61259145" w14:textId="77777777" w:rsidR="00DF147D" w:rsidRPr="0018255F" w:rsidRDefault="00000000" w:rsidP="0018255F">
      <w:pPr>
        <w:pStyle w:val="Prrafodelista"/>
        <w:numPr>
          <w:ilvl w:val="0"/>
          <w:numId w:val="7"/>
        </w:numPr>
        <w:ind w:right="-90"/>
        <w:jc w:val="both"/>
        <w:rPr>
          <w:rFonts w:ascii="Abadi" w:hAnsi="Abadi"/>
          <w:sz w:val="24"/>
          <w:szCs w:val="24"/>
          <w:lang w:val="es-ES"/>
        </w:rPr>
      </w:pPr>
      <w:r>
        <w:rPr>
          <w:rFonts w:ascii="Abadi" w:eastAsia="Calibri" w:hAnsi="Abadi" w:cs="Calibri"/>
          <w:color w:val="1A1A1A"/>
          <w:sz w:val="24"/>
          <w:szCs w:val="24"/>
          <w:lang w:val="es-ES"/>
        </w:rPr>
        <w:t>Due diligence profundo antes de compromisos de capital en minería: el AMO requiere una evaluación exhaustiva del entorno de seguridad y gobernanza. Considerar asociaciones con operadores con experiencia en zonas de conflicto (DRC, Colombia).</w:t>
      </w:r>
    </w:p>
    <w:p w14:paraId="7942E1A6" w14:textId="77777777" w:rsidR="0018255F" w:rsidRPr="0018255F" w:rsidRDefault="0018255F" w:rsidP="0018255F">
      <w:pPr>
        <w:pStyle w:val="Prrafodelista"/>
        <w:ind w:left="720" w:right="-90"/>
        <w:jc w:val="both"/>
        <w:rPr>
          <w:rFonts w:ascii="Abadi" w:hAnsi="Abadi"/>
          <w:sz w:val="24"/>
          <w:szCs w:val="24"/>
          <w:lang w:val="es-ES"/>
        </w:rPr>
      </w:pPr>
    </w:p>
    <w:p w14:paraId="15D7987D" w14:textId="77777777" w:rsidR="00DF147D" w:rsidRPr="0018255F" w:rsidRDefault="00000000" w:rsidP="0018255F">
      <w:pPr>
        <w:pStyle w:val="Prrafodelista"/>
        <w:numPr>
          <w:ilvl w:val="0"/>
          <w:numId w:val="7"/>
        </w:numPr>
        <w:ind w:right="-90"/>
        <w:jc w:val="both"/>
        <w:rPr>
          <w:rFonts w:ascii="Abadi" w:hAnsi="Abadi"/>
          <w:sz w:val="24"/>
          <w:szCs w:val="24"/>
          <w:lang w:val="es-ES"/>
        </w:rPr>
      </w:pPr>
      <w:r>
        <w:rPr>
          <w:rFonts w:ascii="Abadi" w:eastAsia="Calibri" w:hAnsi="Abadi" w:cs="Calibri"/>
          <w:color w:val="1A1A1A"/>
          <w:sz w:val="24"/>
          <w:szCs w:val="24"/>
          <w:lang w:val="es-ES"/>
        </w:rPr>
        <w:t>Seguimiento del marco de reestructuración de deuda: los términos del proceso de reestructuración con China (principal acreedor) definirán el espacio fiscal del nuevo gobierno y, con ello, su capacidad de atracción de inversión en sectores no energéticos.</w:t>
      </w:r>
    </w:p>
    <w:p w14:paraId="0B01BE91" w14:textId="77777777" w:rsidR="0018255F" w:rsidRPr="0018255F" w:rsidRDefault="0018255F" w:rsidP="0018255F">
      <w:pPr>
        <w:ind w:right="-90"/>
        <w:jc w:val="both"/>
        <w:rPr>
          <w:rFonts w:ascii="Abadi" w:hAnsi="Abadi"/>
          <w:sz w:val="24"/>
          <w:szCs w:val="24"/>
          <w:lang w:val="es-ES"/>
        </w:rPr>
      </w:pPr>
    </w:p>
    <w:p w14:paraId="5CF87B45" w14:textId="77777777" w:rsidR="00DF147D" w:rsidRPr="0018255F" w:rsidRDefault="00000000" w:rsidP="0018255F">
      <w:pPr>
        <w:pStyle w:val="Prrafodelista"/>
        <w:numPr>
          <w:ilvl w:val="0"/>
          <w:numId w:val="7"/>
        </w:numPr>
        <w:ind w:right="-90"/>
        <w:jc w:val="both"/>
        <w:rPr>
          <w:rFonts w:ascii="Abadi" w:hAnsi="Abadi"/>
          <w:sz w:val="24"/>
          <w:szCs w:val="24"/>
          <w:lang w:val="es-ES"/>
        </w:rPr>
      </w:pPr>
      <w:r>
        <w:rPr>
          <w:rFonts w:ascii="Abadi" w:eastAsia="Calibri" w:hAnsi="Abadi" w:cs="Calibri"/>
          <w:color w:val="1A1A1A"/>
          <w:sz w:val="24"/>
          <w:szCs w:val="24"/>
          <w:lang w:val="es-ES"/>
        </w:rPr>
        <w:t>Evaluación de oportunidades en energías renovables: la crisis eléctrica crea una demanda genuina de generación distribuida solar y eólica bajo esquemas de autoconsumidores. Regulación pendiente pero el marco de transición es favorable.</w:t>
      </w:r>
    </w:p>
    <w:p w14:paraId="439DE18E" w14:textId="77777777" w:rsidR="0018255F" w:rsidRPr="0018255F" w:rsidRDefault="0018255F" w:rsidP="0018255F">
      <w:pPr>
        <w:ind w:right="-90"/>
        <w:jc w:val="both"/>
        <w:rPr>
          <w:rFonts w:ascii="Abadi" w:hAnsi="Abadi"/>
          <w:sz w:val="24"/>
          <w:szCs w:val="24"/>
          <w:lang w:val="es-ES"/>
        </w:rPr>
      </w:pPr>
    </w:p>
    <w:p w14:paraId="1AE2D61C" w14:textId="77777777" w:rsidR="00DF147D" w:rsidRPr="0018255F" w:rsidRDefault="00285886" w:rsidP="0018255F">
      <w:pPr>
        <w:pStyle w:val="Prrafodelista"/>
        <w:numPr>
          <w:ilvl w:val="0"/>
          <w:numId w:val="7"/>
        </w:numPr>
        <w:ind w:right="-90"/>
        <w:jc w:val="both"/>
        <w:rPr>
          <w:rFonts w:ascii="Abadi" w:hAnsi="Abadi"/>
          <w:sz w:val="24"/>
          <w:szCs w:val="24"/>
          <w:lang w:val="es-ES"/>
        </w:rPr>
      </w:pPr>
      <w:r>
        <w:rPr>
          <w:rFonts w:ascii="Abadi" w:eastAsia="Calibri" w:hAnsi="Abadi" w:cs="Calibri"/>
          <w:color w:val="1A1A1A"/>
          <w:sz w:val="24"/>
          <w:szCs w:val="24"/>
          <w:lang w:val="es-ES"/>
        </w:rPr>
        <w:t xml:space="preserve">Contactar y trabajar con firmas especializadas como: openforumoilgasmine.com. con el objetivo de contar con información veraz y actual de la situación del país, ser apoyados entorno a los procesos de cumplimiento en materia regulatoria energética, due diligence, análisis de perfiles empresariales o particulares, asesoramiento en gestión de riesgos, control y protección de activos, infraestructuras críticas, auditorias de procesos, investigaciones corporativas e inteligencia estratégica. </w:t>
      </w:r>
    </w:p>
    <w:p w14:paraId="0B3CBBA1" w14:textId="77777777" w:rsidR="00DF147D" w:rsidRPr="0018255F" w:rsidRDefault="00DF147D" w:rsidP="00A7547F">
      <w:pPr>
        <w:ind w:right="-90"/>
        <w:jc w:val="both"/>
        <w:rPr>
          <w:rFonts w:ascii="Abadi" w:hAnsi="Abadi"/>
          <w:sz w:val="24"/>
          <w:szCs w:val="24"/>
          <w:lang w:val="es-ES"/>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FF37C1" w14:paraId="1C20F539" w14:textId="77777777" w:rsidTr="0018255F">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33F6BF98" w14:textId="77777777" w:rsidR="00DF147D" w:rsidRPr="00FF37C1" w:rsidRDefault="00000000" w:rsidP="00A7547F">
            <w:pPr>
              <w:ind w:right="-90"/>
              <w:jc w:val="both"/>
              <w:rPr>
                <w:rFonts w:ascii="Abadi" w:hAnsi="Abadi"/>
                <w:sz w:val="24"/>
                <w:szCs w:val="24"/>
              </w:rPr>
            </w:pPr>
            <w:r>
              <w:rPr>
                <w:rFonts w:ascii="Abadi" w:eastAsia="Calibri" w:hAnsi="Abadi" w:cs="Calibri"/>
                <w:b/>
                <w:bCs/>
                <w:color w:val="FFFFFF"/>
                <w:sz w:val="24"/>
                <w:szCs w:val="24"/>
              </w:rPr>
              <w:t>10.  CONCLUSIÓN ESTRATÉGICA</w:t>
            </w:r>
          </w:p>
        </w:tc>
      </w:tr>
      <w:tr w:rsidR="00DF147D" w:rsidRPr="00CB4A49" w14:paraId="731568CE" w14:textId="77777777" w:rsidTr="0018255F">
        <w:tblPrEx>
          <w:tblBorders>
            <w:top w:val="single" w:sz="4" w:space="0" w:color="999999"/>
            <w:left w:val="single" w:sz="4" w:space="0" w:color="999999"/>
            <w:bottom w:val="single" w:sz="4" w:space="0" w:color="999999"/>
            <w:right w:val="single" w:sz="4" w:space="0" w:color="999999"/>
          </w:tblBorders>
        </w:tblPrEx>
        <w:tc>
          <w:tcPr>
            <w:tcW w:w="10170" w:type="dxa"/>
            <w:tcBorders>
              <w:top w:val="none" w:sz="0" w:space="0" w:color="FFFFFF"/>
              <w:left w:val="none" w:sz="0" w:space="0" w:color="FFFFFF"/>
              <w:bottom w:val="none" w:sz="0" w:space="0" w:color="FFFFFF"/>
              <w:right w:val="none" w:sz="0" w:space="0" w:color="FFFFFF"/>
            </w:tcBorders>
            <w:shd w:val="clear" w:color="auto" w:fill="F5F5F5"/>
            <w:tcMar>
              <w:top w:w="100" w:type="dxa"/>
              <w:left w:w="200" w:type="dxa"/>
              <w:bottom w:w="100" w:type="dxa"/>
              <w:right w:w="200" w:type="dxa"/>
            </w:tcMar>
          </w:tcPr>
          <w:p w14:paraId="376C5EBA" w14:textId="77777777" w:rsidR="0018255F" w:rsidRDefault="0018255F" w:rsidP="00A7547F">
            <w:pPr>
              <w:ind w:right="-90"/>
              <w:jc w:val="both"/>
              <w:rPr>
                <w:rFonts w:ascii="Abadi" w:eastAsia="Calibri" w:hAnsi="Abadi" w:cs="Calibri"/>
                <w:b/>
                <w:bCs/>
                <w:caps/>
                <w:color w:val="1A1A1A"/>
                <w:sz w:val="24"/>
                <w:szCs w:val="24"/>
                <w:lang w:val="es-ES"/>
              </w:rPr>
            </w:pPr>
          </w:p>
          <w:p w14:paraId="537AE94D" w14:textId="77777777" w:rsidR="00DF147D" w:rsidRDefault="00000000" w:rsidP="00A7547F">
            <w:pPr>
              <w:ind w:right="-90"/>
              <w:jc w:val="both"/>
              <w:rPr>
                <w:rFonts w:ascii="Abadi" w:eastAsia="Calibri" w:hAnsi="Abadi" w:cs="Calibri"/>
                <w:b/>
                <w:bCs/>
                <w:caps/>
                <w:color w:val="1A1A1A"/>
                <w:sz w:val="24"/>
                <w:szCs w:val="24"/>
                <w:lang w:val="es-ES"/>
              </w:rPr>
            </w:pPr>
            <w:r>
              <w:rPr>
                <w:rFonts w:ascii="Abadi" w:eastAsia="Calibri" w:hAnsi="Abadi" w:cs="Calibri"/>
                <w:b/>
                <w:bCs/>
                <w:caps/>
                <w:color w:val="1A1A1A"/>
                <w:sz w:val="24"/>
                <w:szCs w:val="24"/>
                <w:lang w:val="es-ES"/>
              </w:rPr>
              <w:t>CONCLUSIÓN ESTRATÉGICA: VENEZUELA Y LA NUEVA GEOPOLÍTICA ENERGÉTICA</w:t>
            </w:r>
          </w:p>
          <w:p w14:paraId="2D54FFBF" w14:textId="77777777" w:rsidR="0018255F" w:rsidRPr="00FF37C1" w:rsidRDefault="0018255F" w:rsidP="00A7547F">
            <w:pPr>
              <w:ind w:right="-90"/>
              <w:jc w:val="both"/>
              <w:rPr>
                <w:rFonts w:ascii="Abadi" w:hAnsi="Abadi"/>
                <w:sz w:val="24"/>
                <w:szCs w:val="24"/>
                <w:lang w:val="es-ES"/>
              </w:rPr>
            </w:pPr>
          </w:p>
          <w:p w14:paraId="30E414E2" w14:textId="77777777" w:rsidR="00DF147D" w:rsidRPr="00FF37C1" w:rsidRDefault="00000000" w:rsidP="00A7547F">
            <w:pPr>
              <w:ind w:right="-90"/>
              <w:jc w:val="both"/>
              <w:rPr>
                <w:rFonts w:ascii="Abadi" w:hAnsi="Abadi"/>
                <w:sz w:val="24"/>
                <w:szCs w:val="24"/>
                <w:lang w:val="es-ES"/>
              </w:rPr>
            </w:pPr>
            <w:r>
              <w:rPr>
                <w:rFonts w:ascii="Abadi" w:eastAsia="Calibri" w:hAnsi="Abadi" w:cs="Calibri"/>
                <w:color w:val="1A1A1A"/>
                <w:sz w:val="24"/>
                <w:szCs w:val="24"/>
                <w:lang w:val="es-ES"/>
              </w:rPr>
              <w:t>Venezuela atraviesa la transformación más significativa de su historia reciente: la convergencia de un proceso de transición política sin precedentes, la recuperación sostenida de la producción petrolera, y el reposicionamiento energético hemisférico en el marco de la Doctrina Monroe 2.0 y el acuerdo energético EE.UU.-Venezuela, configuran un escenario de oportunidad estratégica de primer orden para el inversionista con apetito de riesgo y horizonte de mediano-largo plazo.</w:t>
            </w:r>
          </w:p>
          <w:p w14:paraId="3901FB6B" w14:textId="77777777" w:rsidR="00DF147D" w:rsidRDefault="00000000" w:rsidP="00A7547F">
            <w:pPr>
              <w:ind w:right="-90"/>
              <w:jc w:val="both"/>
              <w:rPr>
                <w:rFonts w:ascii="Abadi" w:eastAsia="Calibri" w:hAnsi="Abadi" w:cs="Calibri"/>
                <w:color w:val="1A1A1A"/>
                <w:sz w:val="24"/>
                <w:szCs w:val="24"/>
                <w:lang w:val="es-ES"/>
              </w:rPr>
            </w:pPr>
            <w:r>
              <w:rPr>
                <w:rFonts w:ascii="Abadi" w:eastAsia="Calibri" w:hAnsi="Abadi" w:cs="Calibri"/>
                <w:color w:val="1A1A1A"/>
                <w:sz w:val="24"/>
                <w:szCs w:val="24"/>
                <w:lang w:val="es-ES"/>
              </w:rPr>
              <w:t xml:space="preserve">Las reservas venezolanas de 303.8 Gmmbls —las mayores del mundo— y el potencial gasífero y minero del AMO representan activos de valor geopolítico renovado. La expansión de Chevron </w:t>
            </w:r>
            <w:r>
              <w:rPr>
                <w:rFonts w:ascii="Abadi" w:eastAsia="Calibri" w:hAnsi="Abadi" w:cs="Calibri"/>
                <w:color w:val="1A1A1A"/>
                <w:sz w:val="24"/>
                <w:szCs w:val="24"/>
                <w:lang w:val="es-ES"/>
              </w:rPr>
              <w:lastRenderedPageBreak/>
              <w:t>($7B en 5 años, meta de 600K bpd) confirma que el sector privado estadounidense percibe esta ecuación como favorable bajo el paraguas del acuerdo bilateral.</w:t>
            </w:r>
          </w:p>
          <w:p w14:paraId="1C16FF21" w14:textId="77777777" w:rsidR="0018255F" w:rsidRPr="00FF37C1" w:rsidRDefault="0018255F" w:rsidP="00A7547F">
            <w:pPr>
              <w:ind w:right="-90"/>
              <w:jc w:val="both"/>
              <w:rPr>
                <w:rFonts w:ascii="Abadi" w:hAnsi="Abadi"/>
                <w:sz w:val="24"/>
                <w:szCs w:val="24"/>
                <w:lang w:val="es-ES"/>
              </w:rPr>
            </w:pPr>
          </w:p>
          <w:p w14:paraId="394664DD" w14:textId="77777777" w:rsidR="00DF147D" w:rsidRDefault="00000000" w:rsidP="00A7547F">
            <w:pPr>
              <w:ind w:right="-90"/>
              <w:jc w:val="both"/>
              <w:rPr>
                <w:rFonts w:ascii="Abadi" w:eastAsia="Calibri" w:hAnsi="Abadi" w:cs="Calibri"/>
                <w:color w:val="1A1A1A"/>
                <w:sz w:val="24"/>
                <w:szCs w:val="24"/>
                <w:lang w:val="es-ES"/>
              </w:rPr>
            </w:pPr>
            <w:r>
              <w:rPr>
                <w:rFonts w:ascii="Abadi" w:eastAsia="Calibri" w:hAnsi="Abadi" w:cs="Calibri"/>
                <w:color w:val="1A1A1A"/>
                <w:sz w:val="24"/>
                <w:szCs w:val="24"/>
                <w:lang w:val="es-ES"/>
              </w:rPr>
              <w:t>Los riesgos institucionales, de seguridad y de gobernanza permanecen elevados y no deben subestimarse. La incertidumbre sobre el cronograma electoral, la reestructuración de la deuda con China, el deterioro del sector eléctrico y la persistencia del crimen organizado en zonas estratégicas son factores de riesgo que justifican una postura de verificación continua y compromisos de capital graduales y condicionados.</w:t>
            </w:r>
          </w:p>
          <w:p w14:paraId="5C983DE3" w14:textId="77777777" w:rsidR="00A7547F" w:rsidRDefault="00A7547F" w:rsidP="00A7547F">
            <w:pPr>
              <w:ind w:right="-90" w:firstLine="720"/>
              <w:jc w:val="both"/>
              <w:rPr>
                <w:rFonts w:ascii="Abadi" w:eastAsia="Calibri" w:hAnsi="Abadi" w:cs="Calibri"/>
                <w:color w:val="1A1A1A"/>
                <w:sz w:val="24"/>
                <w:szCs w:val="24"/>
                <w:lang w:val="es-ES"/>
              </w:rPr>
            </w:pPr>
          </w:p>
          <w:p w14:paraId="578B11DE" w14:textId="77777777" w:rsidR="00DF147D" w:rsidRDefault="00000000" w:rsidP="00BD03AE">
            <w:pPr>
              <w:ind w:right="-90"/>
              <w:jc w:val="both"/>
              <w:rPr>
                <w:rFonts w:ascii="Abadi" w:eastAsia="Calibri" w:hAnsi="Abadi" w:cs="Calibri"/>
                <w:color w:val="1A1A1A"/>
                <w:sz w:val="24"/>
                <w:szCs w:val="24"/>
                <w:lang w:val="es-ES"/>
              </w:rPr>
            </w:pPr>
            <w:r>
              <w:rPr>
                <w:rFonts w:ascii="Abadi" w:eastAsia="Calibri" w:hAnsi="Abadi" w:cs="Calibri"/>
                <w:b/>
                <w:bCs/>
                <w:color w:val="1A1A1A"/>
                <w:sz w:val="24"/>
                <w:szCs w:val="24"/>
                <w:lang w:val="es-ES"/>
              </w:rPr>
              <w:t xml:space="preserve">El Catalizador del 25 de Octubre: El Retorno de María Corina Machado. </w:t>
            </w:r>
            <w:r>
              <w:rPr>
                <w:rFonts w:ascii="Abadi" w:eastAsia="Calibri" w:hAnsi="Abadi" w:cs="Calibri"/>
                <w:color w:val="1A1A1A"/>
                <w:sz w:val="24"/>
                <w:szCs w:val="24"/>
                <w:lang w:val="es-ES"/>
              </w:rPr>
              <w:t>El regreso de la líder opositora a Venezuela el 25 de octubre de 2026 representa el elemento más transformador de este análisis desde su emisión original. La confluencia de su presencia en territorio venezolano con el respaldo explícito y sostenido de la administración Trump —expresado en levantamiento de sanciones, liberación de presos políticos y pleno funcionamiento diplomático en Caracas— crea las condiciones para la fase de transición más acelerada que ha conocido Venezuela en su historia reciente. Para el inversionista estratégico, el período noviembre 2026–junio 2027 representa la ventana de entrada con mayor ratio riesgo-oportunidad de la última década: suficientemente temprano para capturar la contracción de la prima de riesgo, y suficientemente respaldado políticamente para reducir la probabilidad de reversión autoritaria. Venezuela no es ya solo una tesis energética: es una tesis de transición democrática con capital político, apoyo geopolítico de primer orden y los activos energéticos más importantes del hemisferio occidental.</w:t>
            </w:r>
          </w:p>
          <w:p w14:paraId="0D395AC7" w14:textId="77777777" w:rsidR="0018255F" w:rsidRPr="00FF37C1" w:rsidRDefault="0018255F" w:rsidP="00A7547F">
            <w:pPr>
              <w:ind w:right="-90"/>
              <w:jc w:val="both"/>
              <w:rPr>
                <w:rFonts w:ascii="Abadi" w:hAnsi="Abadi"/>
                <w:sz w:val="24"/>
                <w:szCs w:val="24"/>
                <w:lang w:val="es-ES"/>
              </w:rPr>
            </w:pPr>
          </w:p>
          <w:p w14:paraId="6C5C31B2" w14:textId="77777777" w:rsidR="00DF147D" w:rsidRDefault="00DF147D" w:rsidP="00A7547F">
            <w:pPr>
              <w:ind w:right="-90"/>
              <w:jc w:val="both"/>
              <w:rPr>
                <w:rFonts w:ascii="Abadi" w:eastAsia="Calibri" w:hAnsi="Abadi" w:cs="Calibri"/>
                <w:b/>
                <w:bCs/>
                <w:color w:val="1A1A1A"/>
                <w:sz w:val="24"/>
                <w:szCs w:val="24"/>
                <w:lang w:val="es-ES"/>
              </w:rPr>
            </w:pPr>
          </w:p>
          <w:p w14:paraId="27EB7CB7" w14:textId="77777777" w:rsidR="0018255F" w:rsidRDefault="0018255F" w:rsidP="00A7547F">
            <w:pPr>
              <w:ind w:right="-90"/>
              <w:jc w:val="both"/>
              <w:rPr>
                <w:rFonts w:ascii="Abadi" w:eastAsia="Calibri" w:hAnsi="Abadi" w:cs="Calibri"/>
                <w:b/>
                <w:bCs/>
                <w:color w:val="1A1A1A"/>
                <w:sz w:val="24"/>
                <w:szCs w:val="24"/>
                <w:lang w:val="es-ES"/>
              </w:rPr>
            </w:pPr>
          </w:p>
          <w:p w14:paraId="101C467C" w14:textId="77777777" w:rsidR="0018255F" w:rsidRDefault="0018255F" w:rsidP="00A7547F">
            <w:pPr>
              <w:ind w:right="-90"/>
              <w:jc w:val="both"/>
              <w:rPr>
                <w:rFonts w:ascii="Abadi" w:eastAsia="Calibri" w:hAnsi="Abadi" w:cs="Calibri"/>
                <w:b/>
                <w:bCs/>
                <w:color w:val="1A1A1A"/>
                <w:sz w:val="24"/>
                <w:szCs w:val="24"/>
                <w:lang w:val="es-ES"/>
              </w:rPr>
            </w:pPr>
          </w:p>
          <w:p w14:paraId="27C8B9E5" w14:textId="77777777" w:rsidR="0018255F" w:rsidRDefault="0018255F" w:rsidP="00A7547F">
            <w:pPr>
              <w:ind w:right="-90"/>
              <w:jc w:val="both"/>
              <w:rPr>
                <w:rFonts w:ascii="Abadi" w:eastAsia="Calibri" w:hAnsi="Abadi" w:cs="Calibri"/>
                <w:b/>
                <w:bCs/>
                <w:color w:val="1A1A1A"/>
                <w:sz w:val="24"/>
                <w:szCs w:val="24"/>
                <w:lang w:val="es-ES"/>
              </w:rPr>
            </w:pPr>
          </w:p>
          <w:p w14:paraId="5A905E88" w14:textId="77777777" w:rsidR="0018255F" w:rsidRDefault="0018255F" w:rsidP="00A7547F">
            <w:pPr>
              <w:ind w:right="-90"/>
              <w:jc w:val="both"/>
              <w:rPr>
                <w:rFonts w:ascii="Abadi" w:eastAsia="Calibri" w:hAnsi="Abadi" w:cs="Calibri"/>
                <w:b/>
                <w:bCs/>
                <w:color w:val="1A1A1A"/>
                <w:sz w:val="24"/>
                <w:szCs w:val="24"/>
                <w:lang w:val="es-ES"/>
              </w:rPr>
            </w:pPr>
          </w:p>
          <w:p w14:paraId="6F876729" w14:textId="77777777" w:rsidR="0018255F" w:rsidRDefault="0018255F" w:rsidP="00A7547F">
            <w:pPr>
              <w:ind w:right="-90"/>
              <w:jc w:val="both"/>
              <w:rPr>
                <w:rFonts w:ascii="Abadi" w:eastAsia="Calibri" w:hAnsi="Abadi" w:cs="Calibri"/>
                <w:b/>
                <w:bCs/>
                <w:color w:val="1A1A1A"/>
                <w:sz w:val="24"/>
                <w:szCs w:val="24"/>
                <w:lang w:val="es-ES"/>
              </w:rPr>
            </w:pPr>
          </w:p>
          <w:p w14:paraId="388D9558" w14:textId="77777777" w:rsidR="0018255F" w:rsidRDefault="0018255F" w:rsidP="00A7547F">
            <w:pPr>
              <w:ind w:right="-90"/>
              <w:jc w:val="both"/>
              <w:rPr>
                <w:rFonts w:ascii="Abadi" w:eastAsia="Calibri" w:hAnsi="Abadi" w:cs="Calibri"/>
                <w:b/>
                <w:bCs/>
                <w:color w:val="1A1A1A"/>
                <w:sz w:val="24"/>
                <w:szCs w:val="24"/>
                <w:lang w:val="es-ES"/>
              </w:rPr>
            </w:pPr>
          </w:p>
          <w:p w14:paraId="2AA717C7" w14:textId="77777777" w:rsidR="0018255F" w:rsidRDefault="0018255F" w:rsidP="00A7547F">
            <w:pPr>
              <w:ind w:right="-90"/>
              <w:jc w:val="both"/>
              <w:rPr>
                <w:rFonts w:ascii="Abadi" w:eastAsia="Calibri" w:hAnsi="Abadi" w:cs="Calibri"/>
                <w:b/>
                <w:bCs/>
                <w:color w:val="1A1A1A"/>
                <w:sz w:val="24"/>
                <w:szCs w:val="24"/>
                <w:lang w:val="es-ES"/>
              </w:rPr>
            </w:pPr>
          </w:p>
          <w:p w14:paraId="6747F9B8" w14:textId="77777777" w:rsidR="0018255F" w:rsidRDefault="0018255F" w:rsidP="00A7547F">
            <w:pPr>
              <w:ind w:right="-90"/>
              <w:jc w:val="both"/>
              <w:rPr>
                <w:rFonts w:ascii="Abadi" w:eastAsia="Calibri" w:hAnsi="Abadi" w:cs="Calibri"/>
                <w:b/>
                <w:bCs/>
                <w:color w:val="1A1A1A"/>
                <w:sz w:val="24"/>
                <w:szCs w:val="24"/>
                <w:lang w:val="es-ES"/>
              </w:rPr>
            </w:pPr>
          </w:p>
          <w:p w14:paraId="4F43EC2C" w14:textId="77777777" w:rsidR="0018255F" w:rsidRDefault="0018255F" w:rsidP="00A7547F">
            <w:pPr>
              <w:ind w:right="-90"/>
              <w:jc w:val="both"/>
              <w:rPr>
                <w:rFonts w:ascii="Abadi" w:eastAsia="Calibri" w:hAnsi="Abadi" w:cs="Calibri"/>
                <w:b/>
                <w:bCs/>
                <w:color w:val="1A1A1A"/>
                <w:sz w:val="24"/>
                <w:szCs w:val="24"/>
                <w:lang w:val="es-ES"/>
              </w:rPr>
            </w:pPr>
          </w:p>
          <w:p w14:paraId="7BC83623" w14:textId="77777777" w:rsidR="0018255F" w:rsidRDefault="0018255F" w:rsidP="00A7547F">
            <w:pPr>
              <w:ind w:right="-90"/>
              <w:jc w:val="both"/>
              <w:rPr>
                <w:rFonts w:ascii="Abadi" w:eastAsia="Calibri" w:hAnsi="Abadi" w:cs="Calibri"/>
                <w:b/>
                <w:bCs/>
                <w:color w:val="1A1A1A"/>
                <w:sz w:val="24"/>
                <w:szCs w:val="24"/>
                <w:lang w:val="es-ES"/>
              </w:rPr>
            </w:pPr>
          </w:p>
          <w:p w14:paraId="4AD1DAF8" w14:textId="77777777" w:rsidR="0018255F" w:rsidRDefault="0018255F" w:rsidP="00A7547F">
            <w:pPr>
              <w:ind w:right="-90"/>
              <w:jc w:val="both"/>
              <w:rPr>
                <w:rFonts w:ascii="Abadi" w:eastAsia="Calibri" w:hAnsi="Abadi" w:cs="Calibri"/>
                <w:b/>
                <w:bCs/>
                <w:color w:val="1A1A1A"/>
                <w:sz w:val="24"/>
                <w:szCs w:val="24"/>
                <w:lang w:val="es-ES"/>
              </w:rPr>
            </w:pPr>
          </w:p>
          <w:p w14:paraId="6FCA387A" w14:textId="77777777" w:rsidR="0018255F" w:rsidRDefault="0018255F" w:rsidP="00A7547F">
            <w:pPr>
              <w:ind w:right="-90"/>
              <w:jc w:val="both"/>
              <w:rPr>
                <w:rFonts w:ascii="Abadi" w:eastAsia="Calibri" w:hAnsi="Abadi" w:cs="Calibri"/>
                <w:b/>
                <w:bCs/>
                <w:color w:val="1A1A1A"/>
                <w:sz w:val="24"/>
                <w:szCs w:val="24"/>
                <w:lang w:val="es-ES"/>
              </w:rPr>
            </w:pPr>
          </w:p>
          <w:p w14:paraId="3BE59F19" w14:textId="77777777" w:rsidR="0018255F" w:rsidRPr="00FF37C1" w:rsidRDefault="0018255F" w:rsidP="00A7547F">
            <w:pPr>
              <w:ind w:right="-90"/>
              <w:jc w:val="both"/>
              <w:rPr>
                <w:rFonts w:ascii="Abadi" w:hAnsi="Abadi"/>
                <w:sz w:val="24"/>
                <w:szCs w:val="24"/>
                <w:lang w:val="es-ES"/>
              </w:rPr>
            </w:pPr>
          </w:p>
        </w:tc>
      </w:tr>
      <w:tr w:rsidR="00BD03AE" w:rsidRPr="00CB4A49" w14:paraId="29247C10" w14:textId="77777777" w:rsidTr="0018255F">
        <w:tblPrEx>
          <w:tblBorders>
            <w:top w:val="single" w:sz="4" w:space="0" w:color="999999"/>
            <w:left w:val="single" w:sz="4" w:space="0" w:color="999999"/>
            <w:bottom w:val="single" w:sz="4" w:space="0" w:color="999999"/>
            <w:right w:val="single" w:sz="4" w:space="0" w:color="999999"/>
          </w:tblBorders>
        </w:tblPrEx>
        <w:tc>
          <w:tcPr>
            <w:tcW w:w="10170" w:type="dxa"/>
            <w:tcBorders>
              <w:top w:val="none" w:sz="0" w:space="0" w:color="FFFFFF"/>
              <w:left w:val="none" w:sz="0" w:space="0" w:color="FFFFFF"/>
              <w:bottom w:val="none" w:sz="0" w:space="0" w:color="FFFFFF"/>
              <w:right w:val="none" w:sz="0" w:space="0" w:color="FFFFFF"/>
            </w:tcBorders>
            <w:shd w:val="clear" w:color="auto" w:fill="F5F5F5"/>
            <w:tcMar>
              <w:top w:w="100" w:type="dxa"/>
              <w:left w:w="200" w:type="dxa"/>
              <w:bottom w:w="100" w:type="dxa"/>
              <w:right w:w="200" w:type="dxa"/>
            </w:tcMar>
          </w:tcPr>
          <w:p w14:paraId="0818593F" w14:textId="77777777" w:rsidR="00BD03AE" w:rsidRDefault="00BD03AE" w:rsidP="00A7547F">
            <w:pPr>
              <w:ind w:right="-90"/>
              <w:jc w:val="both"/>
              <w:rPr>
                <w:rFonts w:ascii="Abadi" w:eastAsia="Calibri" w:hAnsi="Abadi" w:cs="Calibri"/>
                <w:b/>
                <w:bCs/>
                <w:caps/>
                <w:color w:val="1A1A1A"/>
                <w:sz w:val="24"/>
                <w:szCs w:val="24"/>
                <w:lang w:val="es-ES"/>
              </w:rPr>
            </w:pPr>
          </w:p>
        </w:tc>
      </w:tr>
    </w:tbl>
    <w:p w14:paraId="1762A82A" w14:textId="77777777" w:rsidR="00DF147D" w:rsidRDefault="00DF147D" w:rsidP="00A7547F">
      <w:pPr>
        <w:ind w:right="-90"/>
        <w:jc w:val="both"/>
        <w:rPr>
          <w:rFonts w:ascii="Abadi" w:hAnsi="Abadi"/>
          <w:sz w:val="24"/>
          <w:szCs w:val="24"/>
          <w:lang w:val="es-ES"/>
        </w:rPr>
      </w:pPr>
    </w:p>
    <w:p w14:paraId="3EDA1A84" w14:textId="77777777" w:rsidR="00285886" w:rsidRDefault="00285886" w:rsidP="00A7547F">
      <w:pPr>
        <w:ind w:right="-90"/>
        <w:jc w:val="both"/>
        <w:rPr>
          <w:rFonts w:ascii="Abadi" w:hAnsi="Abadi"/>
          <w:sz w:val="24"/>
          <w:szCs w:val="24"/>
          <w:lang w:val="es-ES"/>
        </w:rPr>
      </w:pPr>
    </w:p>
    <w:p w14:paraId="503809D3" w14:textId="77777777" w:rsidR="00285886" w:rsidRDefault="00285886" w:rsidP="00A7547F">
      <w:pPr>
        <w:ind w:right="-90"/>
        <w:jc w:val="both"/>
        <w:rPr>
          <w:rFonts w:ascii="Abadi" w:hAnsi="Abadi"/>
          <w:sz w:val="24"/>
          <w:szCs w:val="24"/>
          <w:lang w:val="es-ES"/>
        </w:rPr>
      </w:pPr>
    </w:p>
    <w:p w14:paraId="10DDD59F" w14:textId="77777777" w:rsidR="00285886" w:rsidRDefault="00285886" w:rsidP="00A7547F">
      <w:pPr>
        <w:ind w:right="-90"/>
        <w:jc w:val="both"/>
        <w:rPr>
          <w:rFonts w:ascii="Abadi" w:hAnsi="Abadi"/>
          <w:sz w:val="24"/>
          <w:szCs w:val="24"/>
          <w:lang w:val="es-ES"/>
        </w:rPr>
      </w:pPr>
    </w:p>
    <w:p w14:paraId="2958F2CE" w14:textId="77777777" w:rsidR="00285886" w:rsidRDefault="00285886" w:rsidP="00A7547F">
      <w:pPr>
        <w:ind w:right="-90"/>
        <w:jc w:val="both"/>
        <w:rPr>
          <w:rFonts w:ascii="Abadi" w:hAnsi="Abadi"/>
          <w:sz w:val="24"/>
          <w:szCs w:val="24"/>
          <w:lang w:val="es-ES"/>
        </w:rPr>
      </w:pPr>
    </w:p>
    <w:p w14:paraId="54678B99" w14:textId="77777777" w:rsidR="00285886" w:rsidRDefault="00285886" w:rsidP="00A7547F">
      <w:pPr>
        <w:ind w:right="-90"/>
        <w:jc w:val="both"/>
        <w:rPr>
          <w:rFonts w:ascii="Abadi" w:hAnsi="Abadi"/>
          <w:sz w:val="24"/>
          <w:szCs w:val="24"/>
          <w:lang w:val="es-ES"/>
        </w:rPr>
      </w:pPr>
    </w:p>
    <w:p w14:paraId="2363405B" w14:textId="77777777" w:rsidR="00285886" w:rsidRDefault="00285886" w:rsidP="00A7547F">
      <w:pPr>
        <w:ind w:right="-90"/>
        <w:jc w:val="both"/>
        <w:rPr>
          <w:rFonts w:ascii="Abadi" w:hAnsi="Abadi"/>
          <w:sz w:val="24"/>
          <w:szCs w:val="24"/>
          <w:lang w:val="es-ES"/>
        </w:rPr>
      </w:pPr>
    </w:p>
    <w:p w14:paraId="31A89962" w14:textId="77777777" w:rsidR="00285886" w:rsidRDefault="00285886" w:rsidP="00A7547F">
      <w:pPr>
        <w:ind w:right="-90"/>
        <w:jc w:val="both"/>
        <w:rPr>
          <w:rFonts w:ascii="Abadi" w:hAnsi="Abadi"/>
          <w:sz w:val="24"/>
          <w:szCs w:val="24"/>
          <w:lang w:val="es-ES"/>
        </w:rPr>
      </w:pPr>
    </w:p>
    <w:p w14:paraId="2C111287" w14:textId="77777777" w:rsidR="00285886" w:rsidRDefault="00285886" w:rsidP="00A7547F">
      <w:pPr>
        <w:ind w:right="-90"/>
        <w:jc w:val="both"/>
        <w:rPr>
          <w:rFonts w:ascii="Abadi" w:hAnsi="Abadi"/>
          <w:sz w:val="24"/>
          <w:szCs w:val="24"/>
          <w:lang w:val="es-ES"/>
        </w:rPr>
      </w:pPr>
    </w:p>
    <w:p w14:paraId="26009B4A" w14:textId="77777777" w:rsidR="00285886" w:rsidRDefault="00285886" w:rsidP="00A7547F">
      <w:pPr>
        <w:ind w:right="-90"/>
        <w:jc w:val="both"/>
        <w:rPr>
          <w:rFonts w:ascii="Abadi" w:hAnsi="Abadi"/>
          <w:sz w:val="24"/>
          <w:szCs w:val="24"/>
          <w:lang w:val="es-ES"/>
        </w:rPr>
      </w:pPr>
    </w:p>
    <w:p w14:paraId="00521BFC" w14:textId="77777777" w:rsidR="00285886" w:rsidRDefault="00285886" w:rsidP="00A7547F">
      <w:pPr>
        <w:ind w:right="-90"/>
        <w:jc w:val="both"/>
        <w:rPr>
          <w:rFonts w:ascii="Abadi" w:hAnsi="Abadi"/>
          <w:sz w:val="24"/>
          <w:szCs w:val="24"/>
          <w:lang w:val="es-ES"/>
        </w:rPr>
      </w:pPr>
    </w:p>
    <w:p w14:paraId="69084B91" w14:textId="77777777" w:rsidR="00285886" w:rsidRDefault="00285886" w:rsidP="00A7547F">
      <w:pPr>
        <w:ind w:right="-90"/>
        <w:jc w:val="both"/>
        <w:rPr>
          <w:rFonts w:ascii="Abadi" w:hAnsi="Abadi"/>
          <w:sz w:val="24"/>
          <w:szCs w:val="24"/>
          <w:lang w:val="es-ES"/>
        </w:rPr>
      </w:pPr>
    </w:p>
    <w:p w14:paraId="3CC0E934" w14:textId="77777777" w:rsidR="00285886" w:rsidRDefault="00285886" w:rsidP="00A7547F">
      <w:pPr>
        <w:ind w:right="-90"/>
        <w:jc w:val="both"/>
        <w:rPr>
          <w:rFonts w:ascii="Abadi" w:hAnsi="Abadi"/>
          <w:sz w:val="24"/>
          <w:szCs w:val="24"/>
          <w:lang w:val="es-ES"/>
        </w:rPr>
      </w:pPr>
    </w:p>
    <w:p w14:paraId="4FBF5079" w14:textId="77777777" w:rsidR="00285886" w:rsidRPr="00FF37C1" w:rsidRDefault="00285886" w:rsidP="00A7547F">
      <w:pPr>
        <w:ind w:right="-90"/>
        <w:jc w:val="both"/>
        <w:rPr>
          <w:rFonts w:ascii="Abadi" w:hAnsi="Abadi"/>
          <w:sz w:val="24"/>
          <w:szCs w:val="24"/>
          <w:lang w:val="es-ES"/>
        </w:rPr>
      </w:pPr>
    </w:p>
    <w:tbl>
      <w:tblPr>
        <w:tblW w:w="1008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FF37C1" w14:paraId="1ABAB9DC" w14:textId="77777777">
        <w:tc>
          <w:tcPr>
            <w:tcW w:w="1008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797F10F7" w14:textId="77777777" w:rsidR="00DF147D" w:rsidRPr="00FF37C1" w:rsidRDefault="00000000" w:rsidP="00A7547F">
            <w:pPr>
              <w:ind w:right="-90"/>
              <w:jc w:val="both"/>
              <w:rPr>
                <w:rFonts w:ascii="Abadi" w:hAnsi="Abadi"/>
                <w:sz w:val="24"/>
                <w:szCs w:val="24"/>
              </w:rPr>
            </w:pPr>
            <w:r>
              <w:rPr>
                <w:rFonts w:ascii="Abadi" w:eastAsia="Calibri" w:hAnsi="Abadi" w:cs="Calibri"/>
                <w:b/>
                <w:bCs/>
                <w:color w:val="FFFFFF"/>
                <w:sz w:val="24"/>
                <w:szCs w:val="24"/>
              </w:rPr>
              <w:t>11.  REFERENCIAS</w:t>
            </w:r>
          </w:p>
        </w:tc>
      </w:tr>
    </w:tbl>
    <w:p w14:paraId="0878F695" w14:textId="77777777" w:rsidR="00DF147D" w:rsidRPr="00FF37C1" w:rsidRDefault="00DF147D" w:rsidP="00A7547F">
      <w:pPr>
        <w:ind w:right="-90"/>
        <w:jc w:val="both"/>
        <w:rPr>
          <w:rFonts w:ascii="Abadi" w:hAnsi="Abadi"/>
          <w:sz w:val="24"/>
          <w:szCs w:val="24"/>
        </w:rPr>
      </w:pPr>
    </w:p>
    <w:p w14:paraId="23985473" w14:textId="77777777" w:rsidR="00DF147D" w:rsidRDefault="00000000" w:rsidP="0018255F">
      <w:pPr>
        <w:ind w:left="480" w:right="-90" w:hanging="480"/>
        <w:rPr>
          <w:rFonts w:ascii="Abadi" w:eastAsia="Calibri" w:hAnsi="Abadi" w:cs="Calibri"/>
          <w:sz w:val="24"/>
          <w:szCs w:val="24"/>
        </w:rPr>
      </w:pPr>
      <w:r>
        <w:rPr>
          <w:rFonts w:ascii="Abadi" w:eastAsia="Calibri" w:hAnsi="Abadi" w:cs="Calibri"/>
          <w:sz w:val="24"/>
          <w:szCs w:val="24"/>
        </w:rPr>
        <w:t xml:space="preserve">EIA (2025). Strait of Hormuz: Crude Oil and LNG Flows Under Growing Threat. U.S. Energy Information Administration. </w:t>
      </w:r>
      <w:hyperlink r:id="rId8" w:history="1">
        <w:r w:rsidR="00DF147D">
          <w:rPr>
            <w:rStyle w:val="Hipervnculo"/>
            <w:rFonts w:ascii="Abadi" w:eastAsia="Calibri" w:hAnsi="Abadi" w:cs="Calibri"/>
            <w:sz w:val="24"/>
            <w:szCs w:val="24"/>
          </w:rPr>
          <w:t>https://www.eia.gov/todayinenergy/detail.php?id=65504</w:t>
        </w:r>
      </w:hyperlink>
    </w:p>
    <w:p w14:paraId="25EC7A99" w14:textId="77777777" w:rsidR="0018255F" w:rsidRPr="0018255F" w:rsidRDefault="0018255F" w:rsidP="0018255F">
      <w:pPr>
        <w:ind w:left="480" w:right="-90" w:hanging="480"/>
        <w:rPr>
          <w:rFonts w:ascii="Abadi" w:hAnsi="Abadi"/>
          <w:sz w:val="24"/>
          <w:szCs w:val="24"/>
        </w:rPr>
      </w:pPr>
    </w:p>
    <w:p w14:paraId="7C28099C" w14:textId="77777777" w:rsidR="00DF147D" w:rsidRPr="00CB4A49" w:rsidRDefault="00000000" w:rsidP="0018255F">
      <w:pPr>
        <w:ind w:left="480" w:right="-90" w:hanging="480"/>
        <w:rPr>
          <w:rFonts w:ascii="Abadi" w:eastAsia="Calibri" w:hAnsi="Abadi" w:cs="Calibri"/>
          <w:sz w:val="24"/>
          <w:szCs w:val="24"/>
          <w:lang w:val="es-ES"/>
        </w:rPr>
      </w:pPr>
      <w:r>
        <w:rPr>
          <w:rFonts w:ascii="Abadi" w:eastAsia="Calibri" w:hAnsi="Abadi" w:cs="Calibri"/>
          <w:sz w:val="24"/>
          <w:szCs w:val="24"/>
        </w:rPr>
        <w:t xml:space="preserve">OPEP (2024). Annual Statistical Bulletin 2024. Organization of the Petroleum Exporting Countries. </w:t>
      </w:r>
      <w:hyperlink r:id="rId9" w:history="1">
        <w:r w:rsidR="00DF147D" w:rsidRPr="00CB4A49">
          <w:rPr>
            <w:rStyle w:val="Hipervnculo"/>
            <w:rFonts w:ascii="Abadi" w:eastAsia="Calibri" w:hAnsi="Abadi" w:cs="Calibri"/>
            <w:sz w:val="24"/>
            <w:szCs w:val="24"/>
            <w:lang w:val="es-ES"/>
          </w:rPr>
          <w:t>https://www.opec.org/opec_web/en/data_graphs/330.htm</w:t>
        </w:r>
      </w:hyperlink>
    </w:p>
    <w:p w14:paraId="27059132" w14:textId="77777777" w:rsidR="0018255F" w:rsidRPr="00CB4A49" w:rsidRDefault="0018255F" w:rsidP="0018255F">
      <w:pPr>
        <w:ind w:left="480" w:right="-90" w:hanging="480"/>
        <w:rPr>
          <w:rFonts w:ascii="Abadi" w:hAnsi="Abadi"/>
          <w:sz w:val="24"/>
          <w:szCs w:val="24"/>
          <w:lang w:val="es-ES"/>
        </w:rPr>
      </w:pPr>
    </w:p>
    <w:p w14:paraId="1B9FF7D1" w14:textId="77777777" w:rsidR="00DF147D" w:rsidRDefault="00000000" w:rsidP="0018255F">
      <w:pPr>
        <w:ind w:left="480" w:hanging="480"/>
        <w:rPr>
          <w:rFonts w:ascii="Abadi" w:eastAsia="Calibri" w:hAnsi="Abadi" w:cs="Calibri"/>
          <w:sz w:val="24"/>
          <w:szCs w:val="24"/>
          <w:lang w:val="es-ES"/>
        </w:rPr>
      </w:pPr>
      <w:r w:rsidRPr="00CB4A49">
        <w:rPr>
          <w:rFonts w:ascii="Abadi" w:eastAsia="Calibri" w:hAnsi="Abadi" w:cs="Calibri"/>
          <w:sz w:val="24"/>
          <w:szCs w:val="24"/>
          <w:lang w:val="es-ES"/>
        </w:rPr>
        <w:t xml:space="preserve">FMI (octubre 2024). </w:t>
      </w:r>
      <w:r>
        <w:rPr>
          <w:rFonts w:ascii="Abadi" w:eastAsia="Calibri" w:hAnsi="Abadi" w:cs="Calibri"/>
          <w:sz w:val="24"/>
          <w:szCs w:val="24"/>
        </w:rPr>
        <w:t xml:space="preserve">World Economic Outlook: Policy Pivot, Rising Threats. </w:t>
      </w:r>
      <w:r>
        <w:rPr>
          <w:rFonts w:ascii="Abadi" w:eastAsia="Calibri" w:hAnsi="Abadi" w:cs="Calibri"/>
          <w:sz w:val="24"/>
          <w:szCs w:val="24"/>
          <w:lang w:val="es-ES"/>
        </w:rPr>
        <w:t xml:space="preserve">International Monetary Fund. </w:t>
      </w:r>
      <w:hyperlink r:id="rId10" w:history="1">
        <w:r w:rsidR="00DF147D">
          <w:rPr>
            <w:rStyle w:val="Hipervnculo"/>
            <w:rFonts w:ascii="Abadi" w:eastAsia="Calibri" w:hAnsi="Abadi" w:cs="Calibri"/>
            <w:sz w:val="24"/>
            <w:szCs w:val="24"/>
            <w:lang w:val="es-ES"/>
          </w:rPr>
          <w:t>https://www.imf.org/en/Publications/WEO</w:t>
        </w:r>
      </w:hyperlink>
    </w:p>
    <w:p w14:paraId="62F2DFCB" w14:textId="77777777" w:rsidR="0018255F" w:rsidRPr="0018255F" w:rsidRDefault="0018255F" w:rsidP="0018255F">
      <w:pPr>
        <w:ind w:left="480" w:hanging="480"/>
        <w:rPr>
          <w:rFonts w:ascii="Abadi" w:hAnsi="Abadi"/>
          <w:sz w:val="24"/>
          <w:szCs w:val="24"/>
          <w:lang w:val="es-ES"/>
        </w:rPr>
      </w:pPr>
    </w:p>
    <w:p w14:paraId="1A806AE8" w14:textId="77777777" w:rsidR="00DF147D" w:rsidRPr="00CB4A49" w:rsidRDefault="00000000" w:rsidP="0018255F">
      <w:pPr>
        <w:ind w:left="480" w:hanging="480"/>
        <w:rPr>
          <w:rFonts w:ascii="Abadi" w:eastAsia="Calibri" w:hAnsi="Abadi" w:cs="Calibri"/>
          <w:sz w:val="24"/>
          <w:szCs w:val="24"/>
        </w:rPr>
      </w:pPr>
      <w:r>
        <w:rPr>
          <w:rFonts w:ascii="Abadi" w:eastAsia="Calibri" w:hAnsi="Abadi" w:cs="Calibri"/>
          <w:sz w:val="24"/>
          <w:szCs w:val="24"/>
          <w:lang w:val="es-ES"/>
        </w:rPr>
        <w:t xml:space="preserve">BCV / Finanzas Digital (2025). PIB Venezuela Segundo Trimestre 2025 — Crecimiento Económico. </w:t>
      </w:r>
      <w:hyperlink r:id="rId11" w:history="1">
        <w:r w:rsidR="00DF147D" w:rsidRPr="00CB4A49">
          <w:rPr>
            <w:rStyle w:val="Hipervnculo"/>
            <w:rFonts w:ascii="Abadi" w:eastAsia="Calibri" w:hAnsi="Abadi" w:cs="Calibri"/>
            <w:sz w:val="24"/>
            <w:szCs w:val="24"/>
          </w:rPr>
          <w:t>https://finanzasdigital.com/pib-venezuela-segundo-trimestre-2025-crecimiento-economico-bcv-maduro/</w:t>
        </w:r>
      </w:hyperlink>
    </w:p>
    <w:p w14:paraId="4B91F8EF" w14:textId="77777777" w:rsidR="0018255F" w:rsidRPr="00CB4A49" w:rsidRDefault="0018255F" w:rsidP="0018255F">
      <w:pPr>
        <w:ind w:left="480" w:hanging="480"/>
        <w:rPr>
          <w:rFonts w:ascii="Abadi" w:hAnsi="Abadi"/>
          <w:sz w:val="24"/>
          <w:szCs w:val="24"/>
        </w:rPr>
      </w:pPr>
    </w:p>
    <w:p w14:paraId="3A07BA92" w14:textId="77777777" w:rsidR="00DF147D" w:rsidRDefault="00000000" w:rsidP="0018255F">
      <w:pPr>
        <w:ind w:left="480" w:hanging="480"/>
        <w:rPr>
          <w:rFonts w:ascii="Abadi" w:eastAsia="Calibri" w:hAnsi="Abadi" w:cs="Calibri"/>
          <w:sz w:val="24"/>
          <w:szCs w:val="24"/>
          <w:lang w:val="es-ES"/>
        </w:rPr>
      </w:pPr>
      <w:r>
        <w:rPr>
          <w:rFonts w:ascii="Abadi" w:eastAsia="Calibri" w:hAnsi="Abadi" w:cs="Calibri"/>
          <w:sz w:val="24"/>
          <w:szCs w:val="24"/>
          <w:lang w:val="es-ES"/>
        </w:rPr>
        <w:t xml:space="preserve">América Económica (2025). El PIB de Venezuela crece un 9.32% en el primer trimestre de 2025 impulsado por el petróleo y la minería. </w:t>
      </w:r>
      <w:hyperlink r:id="rId12" w:history="1">
        <w:r w:rsidR="00DF147D">
          <w:rPr>
            <w:rStyle w:val="Hipervnculo"/>
            <w:rFonts w:ascii="Abadi" w:eastAsia="Calibri" w:hAnsi="Abadi" w:cs="Calibri"/>
            <w:sz w:val="24"/>
            <w:szCs w:val="24"/>
            <w:lang w:val="es-ES"/>
          </w:rPr>
          <w:t>https://americaeconomica.com/</w:t>
        </w:r>
      </w:hyperlink>
    </w:p>
    <w:p w14:paraId="558D5365" w14:textId="77777777" w:rsidR="0018255F" w:rsidRPr="0018255F" w:rsidRDefault="0018255F" w:rsidP="0018255F">
      <w:pPr>
        <w:ind w:left="480" w:hanging="480"/>
        <w:rPr>
          <w:rFonts w:ascii="Abadi" w:hAnsi="Abadi"/>
          <w:sz w:val="24"/>
          <w:szCs w:val="24"/>
          <w:lang w:val="es-ES"/>
        </w:rPr>
      </w:pPr>
    </w:p>
    <w:p w14:paraId="29C53A29" w14:textId="77777777" w:rsidR="00DF147D" w:rsidRPr="00CB4A49" w:rsidRDefault="00000000" w:rsidP="0018255F">
      <w:pPr>
        <w:ind w:left="480" w:hanging="480"/>
        <w:rPr>
          <w:rFonts w:ascii="Abadi" w:eastAsia="Calibri" w:hAnsi="Abadi" w:cs="Calibri"/>
          <w:sz w:val="24"/>
          <w:szCs w:val="24"/>
        </w:rPr>
      </w:pPr>
      <w:r>
        <w:rPr>
          <w:rFonts w:ascii="Abadi" w:eastAsia="Calibri" w:hAnsi="Abadi" w:cs="Calibri"/>
          <w:sz w:val="24"/>
          <w:szCs w:val="24"/>
          <w:lang w:val="es-ES"/>
        </w:rPr>
        <w:t xml:space="preserve">PNUD (2025). Desempeño Macroeconómico de Venezuela — Reporte Trimestral. </w:t>
      </w:r>
      <w:hyperlink r:id="rId13" w:history="1">
        <w:r w:rsidR="00DF147D" w:rsidRPr="00CB4A49">
          <w:rPr>
            <w:rStyle w:val="Hipervnculo"/>
            <w:rFonts w:ascii="Abadi" w:eastAsia="Calibri" w:hAnsi="Abadi" w:cs="Calibri"/>
            <w:sz w:val="24"/>
            <w:szCs w:val="24"/>
          </w:rPr>
          <w:t>https://www.undp.org/sites/g/files/zskgke326/files/2025-09/reportemacroeconomicos2501_digital_v3.pdf</w:t>
        </w:r>
      </w:hyperlink>
    </w:p>
    <w:p w14:paraId="0E550306" w14:textId="77777777" w:rsidR="0018255F" w:rsidRPr="00CB4A49" w:rsidRDefault="0018255F" w:rsidP="0018255F">
      <w:pPr>
        <w:ind w:left="480" w:hanging="480"/>
        <w:rPr>
          <w:rFonts w:ascii="Abadi" w:hAnsi="Abadi"/>
          <w:sz w:val="24"/>
          <w:szCs w:val="24"/>
        </w:rPr>
      </w:pPr>
    </w:p>
    <w:p w14:paraId="6E61C5A2" w14:textId="77777777" w:rsidR="00DF147D" w:rsidRPr="00CB4A49" w:rsidRDefault="00000000" w:rsidP="0018255F">
      <w:pPr>
        <w:ind w:left="480" w:hanging="480"/>
        <w:rPr>
          <w:rFonts w:ascii="Abadi" w:eastAsia="Calibri" w:hAnsi="Abadi" w:cs="Calibri"/>
          <w:sz w:val="24"/>
          <w:szCs w:val="24"/>
        </w:rPr>
      </w:pPr>
      <w:r>
        <w:rPr>
          <w:rFonts w:ascii="Abadi" w:eastAsia="Calibri" w:hAnsi="Abadi" w:cs="Calibri"/>
          <w:sz w:val="24"/>
          <w:szCs w:val="24"/>
          <w:lang w:val="es-ES"/>
        </w:rPr>
        <w:t xml:space="preserve">Ecoanalítica / Efecto Cocuyo (2025). Proyecciones económicas para 2025: La situación es bastante compleja. </w:t>
      </w:r>
      <w:hyperlink r:id="rId14" w:history="1">
        <w:r w:rsidR="00DF147D" w:rsidRPr="00CB4A49">
          <w:rPr>
            <w:rStyle w:val="Hipervnculo"/>
            <w:rFonts w:ascii="Abadi" w:eastAsia="Calibri" w:hAnsi="Abadi" w:cs="Calibri"/>
            <w:sz w:val="24"/>
            <w:szCs w:val="24"/>
          </w:rPr>
          <w:t>https://efectococuyo.com/politica/proyecciones-economicas-2025-ecoanalitica-situacion-bastante-compleja/</w:t>
        </w:r>
      </w:hyperlink>
    </w:p>
    <w:p w14:paraId="37E7CA7E" w14:textId="77777777" w:rsidR="0018255F" w:rsidRPr="00CB4A49" w:rsidRDefault="0018255F" w:rsidP="0018255F">
      <w:pPr>
        <w:ind w:left="480" w:hanging="480"/>
        <w:rPr>
          <w:rFonts w:ascii="Abadi" w:hAnsi="Abadi"/>
          <w:sz w:val="24"/>
          <w:szCs w:val="24"/>
        </w:rPr>
      </w:pPr>
    </w:p>
    <w:p w14:paraId="52501A51" w14:textId="77777777" w:rsidR="00DF147D" w:rsidRPr="00CB4A49" w:rsidRDefault="00000000" w:rsidP="0018255F">
      <w:pPr>
        <w:ind w:left="480" w:hanging="480"/>
        <w:rPr>
          <w:rFonts w:ascii="Abadi" w:eastAsia="Calibri" w:hAnsi="Abadi" w:cs="Calibri"/>
          <w:sz w:val="24"/>
          <w:szCs w:val="24"/>
        </w:rPr>
      </w:pPr>
      <w:r>
        <w:rPr>
          <w:rFonts w:ascii="Abadi" w:eastAsia="Calibri" w:hAnsi="Abadi" w:cs="Calibri"/>
          <w:sz w:val="24"/>
          <w:szCs w:val="24"/>
          <w:lang w:val="es-ES"/>
        </w:rPr>
        <w:t xml:space="preserve">Infobae (ene. 2025). La producción petrolera de Venezuela crece un 17.6% en 2024. </w:t>
      </w:r>
      <w:hyperlink r:id="rId15" w:history="1">
        <w:r w:rsidR="00DF147D" w:rsidRPr="00CB4A49">
          <w:rPr>
            <w:rStyle w:val="Hipervnculo"/>
            <w:rFonts w:ascii="Abadi" w:eastAsia="Calibri" w:hAnsi="Abadi" w:cs="Calibri"/>
            <w:sz w:val="24"/>
            <w:szCs w:val="24"/>
          </w:rPr>
          <w:t>https://www.infobae.com/america/agencias/2025/01/15/la-produccion-petrolera-de-venezuela-crece-un-176-en-2024/</w:t>
        </w:r>
      </w:hyperlink>
    </w:p>
    <w:p w14:paraId="660E6765" w14:textId="77777777" w:rsidR="0018255F" w:rsidRPr="00CB4A49" w:rsidRDefault="0018255F" w:rsidP="0018255F">
      <w:pPr>
        <w:ind w:left="480" w:hanging="480"/>
        <w:rPr>
          <w:rFonts w:ascii="Abadi" w:hAnsi="Abadi"/>
          <w:sz w:val="24"/>
          <w:szCs w:val="24"/>
        </w:rPr>
      </w:pPr>
    </w:p>
    <w:p w14:paraId="51A182F4" w14:textId="77777777" w:rsidR="00DF147D" w:rsidRPr="00CB4A49" w:rsidRDefault="00000000" w:rsidP="0018255F">
      <w:pPr>
        <w:ind w:left="480" w:hanging="480"/>
        <w:rPr>
          <w:rFonts w:ascii="Abadi" w:eastAsia="Calibri" w:hAnsi="Abadi" w:cs="Calibri"/>
          <w:sz w:val="24"/>
          <w:szCs w:val="24"/>
        </w:rPr>
      </w:pPr>
      <w:r>
        <w:rPr>
          <w:rFonts w:ascii="Abadi" w:eastAsia="Calibri" w:hAnsi="Abadi" w:cs="Calibri"/>
          <w:sz w:val="24"/>
          <w:szCs w:val="24"/>
          <w:lang w:val="es-ES"/>
        </w:rPr>
        <w:t xml:space="preserve">Venezuela Afianza Recuperación Petrolera (2025). Observatorio Venezolano. </w:t>
      </w:r>
      <w:hyperlink r:id="rId16" w:history="1">
        <w:r w:rsidR="00DF147D" w:rsidRPr="00CB4A49">
          <w:rPr>
            <w:rStyle w:val="Hipervnculo"/>
            <w:rFonts w:ascii="Abadi" w:eastAsia="Calibri" w:hAnsi="Abadi" w:cs="Calibri"/>
            <w:sz w:val="24"/>
            <w:szCs w:val="24"/>
          </w:rPr>
          <w:t>https://observatorio.gob.ve/venezuela-afianza-recuperacion-petrolera-al-superar-1-millon-de-barriles-diarios-en-enero/</w:t>
        </w:r>
      </w:hyperlink>
    </w:p>
    <w:p w14:paraId="3C29AEBF" w14:textId="77777777" w:rsidR="0018255F" w:rsidRPr="00CB4A49" w:rsidRDefault="0018255F" w:rsidP="0018255F">
      <w:pPr>
        <w:ind w:left="480" w:hanging="480"/>
        <w:rPr>
          <w:rFonts w:ascii="Abadi" w:hAnsi="Abadi"/>
          <w:sz w:val="24"/>
          <w:szCs w:val="24"/>
        </w:rPr>
      </w:pPr>
    </w:p>
    <w:p w14:paraId="2621A2A4" w14:textId="77777777"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Khaleej Times (sep. 2026). Chevron Expands Venezuela Presence with $7 Billion Plan to Double Output in Five Years. </w:t>
      </w:r>
      <w:hyperlink r:id="rId17" w:history="1">
        <w:r w:rsidR="00DF147D">
          <w:rPr>
            <w:rStyle w:val="Hipervnculo"/>
            <w:rFonts w:ascii="Abadi" w:eastAsia="Calibri" w:hAnsi="Abadi" w:cs="Calibri"/>
            <w:sz w:val="24"/>
            <w:szCs w:val="24"/>
          </w:rPr>
          <w:t>https://www.khaleejtimes.com/business/chevron-expands-venezuela-presence-with-7-billion-plan-to-double-output-in-five-years</w:t>
        </w:r>
      </w:hyperlink>
    </w:p>
    <w:p w14:paraId="73692B77" w14:textId="77777777" w:rsidR="0018255F" w:rsidRPr="0018255F" w:rsidRDefault="0018255F" w:rsidP="0018255F">
      <w:pPr>
        <w:ind w:left="480" w:hanging="480"/>
        <w:rPr>
          <w:rFonts w:ascii="Abadi" w:hAnsi="Abadi"/>
          <w:sz w:val="24"/>
          <w:szCs w:val="24"/>
        </w:rPr>
      </w:pPr>
    </w:p>
    <w:p w14:paraId="24B575C9" w14:textId="77777777"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NPR (sep. 2026). Chevron to Expand in Venezuela, Days after the U.S. and Venezuela Strike Oil Deal. </w:t>
      </w:r>
      <w:hyperlink r:id="rId18" w:history="1">
        <w:r w:rsidR="00DF147D">
          <w:rPr>
            <w:rStyle w:val="Hipervnculo"/>
            <w:rFonts w:ascii="Abadi" w:eastAsia="Calibri" w:hAnsi="Abadi" w:cs="Calibri"/>
            <w:sz w:val="24"/>
            <w:szCs w:val="24"/>
          </w:rPr>
          <w:t>https://npr.org/2026/09/02/nx-s1-5952190/chevron-venezuela-oil-deal</w:t>
        </w:r>
      </w:hyperlink>
    </w:p>
    <w:p w14:paraId="607455BE" w14:textId="77777777" w:rsidR="0018255F" w:rsidRPr="0018255F" w:rsidRDefault="0018255F" w:rsidP="0018255F">
      <w:pPr>
        <w:ind w:left="480" w:hanging="480"/>
        <w:rPr>
          <w:rFonts w:ascii="Abadi" w:hAnsi="Abadi"/>
          <w:sz w:val="24"/>
          <w:szCs w:val="24"/>
        </w:rPr>
      </w:pPr>
    </w:p>
    <w:p w14:paraId="6A0A3CED" w14:textId="77777777"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OilNow (2025). Chevron Says It Can Boost Venezuela Production Up to 50% in 24 Months. </w:t>
      </w:r>
      <w:hyperlink r:id="rId19" w:history="1">
        <w:r w:rsidR="00DF147D">
          <w:rPr>
            <w:rStyle w:val="Hipervnculo"/>
            <w:rFonts w:ascii="Abadi" w:eastAsia="Calibri" w:hAnsi="Abadi" w:cs="Calibri"/>
            <w:sz w:val="24"/>
            <w:szCs w:val="24"/>
          </w:rPr>
          <w:t>https://oilnow.gy/news/chevron-says-it-can-boost-venezuela-production-up-to-50-in-24-months/</w:t>
        </w:r>
      </w:hyperlink>
    </w:p>
    <w:p w14:paraId="25D0474F" w14:textId="77777777" w:rsidR="0018255F" w:rsidRPr="0018255F" w:rsidRDefault="0018255F" w:rsidP="0018255F">
      <w:pPr>
        <w:ind w:left="480" w:hanging="480"/>
        <w:rPr>
          <w:rFonts w:ascii="Abadi" w:hAnsi="Abadi"/>
          <w:sz w:val="24"/>
          <w:szCs w:val="24"/>
        </w:rPr>
      </w:pPr>
    </w:p>
    <w:p w14:paraId="424C7B2A" w14:textId="77777777"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BloombergNEF (2025). Venezuela's Oil Renaissance Faces Several High Hurdles. </w:t>
      </w:r>
      <w:hyperlink r:id="rId20" w:history="1">
        <w:r w:rsidR="00DF147D">
          <w:rPr>
            <w:rStyle w:val="Hipervnculo"/>
            <w:rFonts w:ascii="Abadi" w:eastAsia="Calibri" w:hAnsi="Abadi" w:cs="Calibri"/>
            <w:sz w:val="24"/>
            <w:szCs w:val="24"/>
          </w:rPr>
          <w:t>https://about.bnef.com/insights/commodities/venezuelas-oil-renaissance-faces-several-high-hurdles</w:t>
        </w:r>
      </w:hyperlink>
    </w:p>
    <w:p w14:paraId="0B1DCF74" w14:textId="77777777" w:rsidR="0018255F" w:rsidRPr="0018255F" w:rsidRDefault="0018255F" w:rsidP="0018255F">
      <w:pPr>
        <w:ind w:left="480" w:hanging="480"/>
        <w:rPr>
          <w:rFonts w:ascii="Abadi" w:hAnsi="Abadi"/>
          <w:sz w:val="24"/>
          <w:szCs w:val="24"/>
        </w:rPr>
      </w:pPr>
    </w:p>
    <w:p w14:paraId="11AC5CC6" w14:textId="77777777" w:rsidR="00DF147D" w:rsidRPr="0018255F" w:rsidRDefault="00000000" w:rsidP="0018255F">
      <w:pPr>
        <w:ind w:left="480" w:hanging="480"/>
        <w:rPr>
          <w:rFonts w:ascii="Abadi" w:hAnsi="Abadi"/>
          <w:sz w:val="24"/>
          <w:szCs w:val="24"/>
        </w:rPr>
      </w:pPr>
      <w:r>
        <w:rPr>
          <w:rFonts w:ascii="Abadi" w:eastAsia="Calibri" w:hAnsi="Abadi" w:cs="Calibri"/>
          <w:sz w:val="24"/>
          <w:szCs w:val="24"/>
        </w:rPr>
        <w:lastRenderedPageBreak/>
        <w:t>Río Times Online (sep. 2026). Venezuela Second US Crude Supplier for 18 Weeks in 2026. https://www.riotimesonline.com/venezuela-second-us-crude-supplier-18-weeks-2026/</w:t>
      </w:r>
    </w:p>
    <w:p w14:paraId="1C6FE449" w14:textId="77777777" w:rsidR="00DF147D" w:rsidRPr="00CB4A49" w:rsidRDefault="00000000" w:rsidP="0018255F">
      <w:pPr>
        <w:ind w:left="480" w:hanging="480"/>
        <w:rPr>
          <w:rFonts w:ascii="Abadi" w:eastAsia="Calibri" w:hAnsi="Abadi" w:cs="Calibri"/>
          <w:sz w:val="24"/>
          <w:szCs w:val="24"/>
        </w:rPr>
      </w:pPr>
      <w:r>
        <w:rPr>
          <w:rFonts w:ascii="Abadi" w:eastAsia="Calibri" w:hAnsi="Abadi" w:cs="Calibri"/>
          <w:sz w:val="24"/>
          <w:szCs w:val="24"/>
          <w:lang w:val="es-ES"/>
        </w:rPr>
        <w:t xml:space="preserve">Resumen Latinoamericano (jul. 2025). Venezuela: Caracas lista para exportar la primera molécula de gas. </w:t>
      </w:r>
      <w:hyperlink r:id="rId21" w:history="1">
        <w:r w:rsidR="00DF147D" w:rsidRPr="00CB4A49">
          <w:rPr>
            <w:rStyle w:val="Hipervnculo"/>
            <w:rFonts w:ascii="Abadi" w:eastAsia="Calibri" w:hAnsi="Abadi" w:cs="Calibri"/>
            <w:sz w:val="24"/>
            <w:szCs w:val="24"/>
          </w:rPr>
          <w:t>https://www.resumenlatinoamericano.org/2025/07/10/</w:t>
        </w:r>
      </w:hyperlink>
    </w:p>
    <w:p w14:paraId="0B957B85" w14:textId="77777777" w:rsidR="0018255F" w:rsidRPr="00CB4A49" w:rsidRDefault="0018255F" w:rsidP="0018255F">
      <w:pPr>
        <w:ind w:left="480" w:hanging="480"/>
        <w:rPr>
          <w:rFonts w:ascii="Abadi" w:hAnsi="Abadi"/>
          <w:sz w:val="24"/>
          <w:szCs w:val="24"/>
        </w:rPr>
      </w:pPr>
    </w:p>
    <w:p w14:paraId="00B05D3C" w14:textId="77777777"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Global Energy Monitor (2025). Dragon Gas Field (Venezuela). </w:t>
      </w:r>
      <w:hyperlink r:id="rId22" w:history="1">
        <w:r w:rsidR="00DF147D">
          <w:rPr>
            <w:rStyle w:val="Hipervnculo"/>
            <w:rFonts w:ascii="Abadi" w:eastAsia="Calibri" w:hAnsi="Abadi" w:cs="Calibri"/>
            <w:sz w:val="24"/>
            <w:szCs w:val="24"/>
          </w:rPr>
          <w:t>https://www.gem.wiki/Dragon_Gas_Field_(Venezuela)</w:t>
        </w:r>
      </w:hyperlink>
    </w:p>
    <w:p w14:paraId="08F577F4" w14:textId="77777777" w:rsidR="0018255F" w:rsidRPr="0018255F" w:rsidRDefault="0018255F" w:rsidP="0018255F">
      <w:pPr>
        <w:ind w:left="480" w:hanging="480"/>
        <w:rPr>
          <w:rFonts w:ascii="Abadi" w:hAnsi="Abadi"/>
          <w:sz w:val="24"/>
          <w:szCs w:val="24"/>
        </w:rPr>
      </w:pPr>
    </w:p>
    <w:p w14:paraId="4C07851D" w14:textId="77777777"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Hart Energy (2025). Chart Talk: Trinidad Eyes Venezuelan Gas Supply from Mariscal Sucre Project. </w:t>
      </w:r>
      <w:hyperlink r:id="rId23" w:history="1">
        <w:r w:rsidR="00DF147D">
          <w:rPr>
            <w:rStyle w:val="Hipervnculo"/>
            <w:rFonts w:ascii="Abadi" w:eastAsia="Calibri" w:hAnsi="Abadi" w:cs="Calibri"/>
            <w:sz w:val="24"/>
            <w:szCs w:val="24"/>
          </w:rPr>
          <w:t>https://www.hartenergy.com/exclusives/chart-talk-trinidad-eyes-venezuelan-gas-supply-mariscal-sucre-project-203970/</w:t>
        </w:r>
      </w:hyperlink>
    </w:p>
    <w:p w14:paraId="578A74B9" w14:textId="77777777" w:rsidR="0018255F" w:rsidRPr="0018255F" w:rsidRDefault="0018255F" w:rsidP="0018255F">
      <w:pPr>
        <w:ind w:left="480" w:hanging="480"/>
        <w:rPr>
          <w:rFonts w:ascii="Abadi" w:hAnsi="Abadi"/>
          <w:sz w:val="24"/>
          <w:szCs w:val="24"/>
        </w:rPr>
      </w:pPr>
    </w:p>
    <w:p w14:paraId="75ACD4CA" w14:textId="77777777" w:rsidR="00DF147D" w:rsidRPr="00CB4A49" w:rsidRDefault="00000000" w:rsidP="0018255F">
      <w:pPr>
        <w:ind w:left="480" w:hanging="480"/>
        <w:rPr>
          <w:rFonts w:ascii="Abadi" w:eastAsia="Calibri" w:hAnsi="Abadi" w:cs="Calibri"/>
          <w:sz w:val="24"/>
          <w:szCs w:val="24"/>
        </w:rPr>
      </w:pPr>
      <w:r>
        <w:rPr>
          <w:rFonts w:ascii="Abadi" w:eastAsia="Calibri" w:hAnsi="Abadi" w:cs="Calibri"/>
          <w:sz w:val="24"/>
          <w:szCs w:val="24"/>
          <w:lang w:val="es-ES"/>
        </w:rPr>
        <w:t xml:space="preserve">La Patilla (2025). La minería venezolana es un sector con alto potencial, pero lastrado por la informalidad. </w:t>
      </w:r>
      <w:hyperlink r:id="rId24" w:history="1">
        <w:r w:rsidR="00DF147D" w:rsidRPr="00CB4A49">
          <w:rPr>
            <w:rStyle w:val="Hipervnculo"/>
            <w:rFonts w:ascii="Abadi" w:eastAsia="Calibri" w:hAnsi="Abadi" w:cs="Calibri"/>
            <w:sz w:val="24"/>
            <w:szCs w:val="24"/>
          </w:rPr>
          <w:t>https://lapatilla.com/2025/08/08/la-mineria-venezolana-es-un-sector-con-alto-potencial-pero-lastrado-por-la-informalidad/</w:t>
        </w:r>
      </w:hyperlink>
    </w:p>
    <w:p w14:paraId="026C45B1" w14:textId="77777777" w:rsidR="0018255F" w:rsidRPr="00CB4A49" w:rsidRDefault="0018255F" w:rsidP="0018255F">
      <w:pPr>
        <w:ind w:left="480" w:hanging="480"/>
        <w:rPr>
          <w:rFonts w:ascii="Abadi" w:hAnsi="Abadi"/>
          <w:sz w:val="24"/>
          <w:szCs w:val="24"/>
        </w:rPr>
      </w:pPr>
    </w:p>
    <w:p w14:paraId="0EBA57F8" w14:textId="77777777" w:rsidR="00DF147D" w:rsidRPr="00CB4A49" w:rsidRDefault="00000000" w:rsidP="0018255F">
      <w:pPr>
        <w:ind w:left="480" w:hanging="480"/>
        <w:rPr>
          <w:rFonts w:ascii="Abadi" w:eastAsia="Calibri" w:hAnsi="Abadi" w:cs="Calibri"/>
          <w:sz w:val="24"/>
          <w:szCs w:val="24"/>
        </w:rPr>
      </w:pPr>
      <w:r>
        <w:rPr>
          <w:rFonts w:ascii="Abadi" w:eastAsia="Calibri" w:hAnsi="Abadi" w:cs="Calibri"/>
          <w:sz w:val="24"/>
          <w:szCs w:val="24"/>
          <w:lang w:val="es-ES"/>
        </w:rPr>
        <w:t xml:space="preserve">NTN24 (2025). Apagones en Venezuela se extienden; Zulia concentra la crisis y 99% de hogares reporta cortes. </w:t>
      </w:r>
      <w:hyperlink r:id="rId25" w:history="1">
        <w:r w:rsidR="00DF147D" w:rsidRPr="00CB4A49">
          <w:rPr>
            <w:rStyle w:val="Hipervnculo"/>
            <w:rFonts w:ascii="Abadi" w:eastAsia="Calibri" w:hAnsi="Abadi" w:cs="Calibri"/>
            <w:sz w:val="24"/>
            <w:szCs w:val="24"/>
          </w:rPr>
          <w:t>https://www.portafolio.co/internacional/apagones-en-venezuela-se-extienden-zulia-concentra-la-crisis-y-99-de-hogares-reporta-cortes-501908</w:t>
        </w:r>
      </w:hyperlink>
    </w:p>
    <w:p w14:paraId="1DCD6F35" w14:textId="77777777" w:rsidR="0018255F" w:rsidRPr="00CB4A49" w:rsidRDefault="0018255F" w:rsidP="0018255F">
      <w:pPr>
        <w:ind w:left="480" w:hanging="480"/>
        <w:rPr>
          <w:rFonts w:ascii="Abadi" w:hAnsi="Abadi"/>
          <w:sz w:val="24"/>
          <w:szCs w:val="24"/>
        </w:rPr>
      </w:pPr>
    </w:p>
    <w:p w14:paraId="6D3011E1" w14:textId="77777777" w:rsidR="00DF147D" w:rsidRDefault="00000000" w:rsidP="0018255F">
      <w:pPr>
        <w:ind w:left="480" w:hanging="480"/>
        <w:rPr>
          <w:rFonts w:ascii="Abadi" w:eastAsia="Calibri" w:hAnsi="Abadi" w:cs="Calibri"/>
          <w:sz w:val="24"/>
          <w:szCs w:val="24"/>
          <w:lang w:val="es-ES"/>
        </w:rPr>
      </w:pPr>
      <w:r>
        <w:rPr>
          <w:rFonts w:ascii="Abadi" w:eastAsia="Calibri" w:hAnsi="Abadi" w:cs="Calibri"/>
          <w:sz w:val="24"/>
          <w:szCs w:val="24"/>
          <w:lang w:val="es-ES"/>
        </w:rPr>
        <w:t xml:space="preserve">El Diario (may. 2026). Vivir sin saber cuándo se irá la luz: la rutina que persiste en regiones de Venezuela. </w:t>
      </w:r>
      <w:hyperlink r:id="rId26" w:history="1">
        <w:r w:rsidR="00DF147D">
          <w:rPr>
            <w:rStyle w:val="Hipervnculo"/>
            <w:rFonts w:ascii="Abadi" w:eastAsia="Calibri" w:hAnsi="Abadi" w:cs="Calibri"/>
            <w:sz w:val="24"/>
            <w:szCs w:val="24"/>
            <w:lang w:val="es-ES"/>
          </w:rPr>
          <w:t>https://eldiario.com/2026/05/09/cortes-electricos-venezuela/</w:t>
        </w:r>
      </w:hyperlink>
    </w:p>
    <w:p w14:paraId="682AC578" w14:textId="77777777" w:rsidR="0018255F" w:rsidRPr="0018255F" w:rsidRDefault="0018255F" w:rsidP="0018255F">
      <w:pPr>
        <w:ind w:left="480" w:hanging="480"/>
        <w:rPr>
          <w:rFonts w:ascii="Abadi" w:hAnsi="Abadi"/>
          <w:sz w:val="24"/>
          <w:szCs w:val="24"/>
          <w:lang w:val="es-ES"/>
        </w:rPr>
      </w:pPr>
    </w:p>
    <w:p w14:paraId="4BE6799D" w14:textId="77777777" w:rsidR="00DF147D" w:rsidRDefault="00000000" w:rsidP="0018255F">
      <w:pPr>
        <w:ind w:left="480" w:hanging="480"/>
        <w:rPr>
          <w:rFonts w:ascii="Abadi" w:eastAsia="Calibri" w:hAnsi="Abadi" w:cs="Calibri"/>
          <w:sz w:val="24"/>
          <w:szCs w:val="24"/>
          <w:lang w:val="es-ES"/>
        </w:rPr>
      </w:pPr>
      <w:r>
        <w:rPr>
          <w:rFonts w:ascii="Abadi" w:eastAsia="Calibri" w:hAnsi="Abadi" w:cs="Calibri"/>
          <w:sz w:val="24"/>
          <w:szCs w:val="24"/>
          <w:lang w:val="es-ES"/>
        </w:rPr>
        <w:t xml:space="preserve">CNN Español (feb. 2026). Hace un mes capturaron a Maduro. Pero los venezolanos viven entre incertidumbre y expectativa. </w:t>
      </w:r>
      <w:hyperlink r:id="rId27" w:history="1">
        <w:r w:rsidR="00DF147D">
          <w:rPr>
            <w:rStyle w:val="Hipervnculo"/>
            <w:rFonts w:ascii="Abadi" w:eastAsia="Calibri" w:hAnsi="Abadi" w:cs="Calibri"/>
            <w:sz w:val="24"/>
            <w:szCs w:val="24"/>
            <w:lang w:val="es-ES"/>
          </w:rPr>
          <w:t>https://cnnespanol.cnn.com/2026/02/03/</w:t>
        </w:r>
      </w:hyperlink>
    </w:p>
    <w:p w14:paraId="63D460E3" w14:textId="77777777" w:rsidR="0018255F" w:rsidRPr="0018255F" w:rsidRDefault="0018255F" w:rsidP="0018255F">
      <w:pPr>
        <w:ind w:left="480" w:hanging="480"/>
        <w:rPr>
          <w:rFonts w:ascii="Abadi" w:hAnsi="Abadi"/>
          <w:sz w:val="24"/>
          <w:szCs w:val="24"/>
          <w:lang w:val="es-ES"/>
        </w:rPr>
      </w:pPr>
    </w:p>
    <w:p w14:paraId="6595D109" w14:textId="77777777" w:rsidR="00DF147D" w:rsidRDefault="00000000" w:rsidP="0018255F">
      <w:pPr>
        <w:ind w:left="480" w:hanging="480"/>
        <w:rPr>
          <w:rFonts w:ascii="Abadi" w:eastAsia="Calibri" w:hAnsi="Abadi" w:cs="Calibri"/>
          <w:sz w:val="24"/>
          <w:szCs w:val="24"/>
          <w:lang w:val="es-ES"/>
        </w:rPr>
      </w:pPr>
      <w:r>
        <w:rPr>
          <w:rFonts w:ascii="Abadi" w:eastAsia="Calibri" w:hAnsi="Abadi" w:cs="Calibri"/>
          <w:sz w:val="24"/>
          <w:szCs w:val="24"/>
          <w:lang w:val="es-ES"/>
        </w:rPr>
        <w:t xml:space="preserve">Infobae (oct. 2026). La oposición venezolana plantea una transición basada en negociación y elecciones libres. </w:t>
      </w:r>
      <w:hyperlink r:id="rId28" w:history="1">
        <w:r w:rsidR="00DF147D">
          <w:rPr>
            <w:rStyle w:val="Hipervnculo"/>
            <w:rFonts w:ascii="Abadi" w:eastAsia="Calibri" w:hAnsi="Abadi" w:cs="Calibri"/>
            <w:sz w:val="24"/>
            <w:szCs w:val="24"/>
            <w:lang w:val="es-ES"/>
          </w:rPr>
          <w:t>https://www.infobae.com/america/agencias/2026/10/18/</w:t>
        </w:r>
      </w:hyperlink>
    </w:p>
    <w:p w14:paraId="3F8127AD" w14:textId="77777777" w:rsidR="0018255F" w:rsidRPr="0018255F" w:rsidRDefault="0018255F" w:rsidP="0018255F">
      <w:pPr>
        <w:ind w:left="480" w:hanging="480"/>
        <w:rPr>
          <w:rFonts w:ascii="Abadi" w:hAnsi="Abadi"/>
          <w:sz w:val="24"/>
          <w:szCs w:val="24"/>
          <w:lang w:val="es-ES"/>
        </w:rPr>
      </w:pPr>
    </w:p>
    <w:p w14:paraId="58DBF6C8" w14:textId="77777777" w:rsidR="00DF147D" w:rsidRPr="00CB4A49" w:rsidRDefault="00000000" w:rsidP="0018255F">
      <w:pPr>
        <w:ind w:left="480" w:hanging="480"/>
        <w:rPr>
          <w:rFonts w:ascii="Abadi" w:eastAsia="Calibri" w:hAnsi="Abadi" w:cs="Calibri"/>
          <w:sz w:val="24"/>
          <w:szCs w:val="24"/>
        </w:rPr>
      </w:pPr>
      <w:r>
        <w:rPr>
          <w:rFonts w:ascii="Abadi" w:eastAsia="Calibri" w:hAnsi="Abadi" w:cs="Calibri"/>
          <w:sz w:val="24"/>
          <w:szCs w:val="24"/>
          <w:lang w:val="es-ES"/>
        </w:rPr>
        <w:t xml:space="preserve">Infobae (oct. 2026). La oposición venezolana convocó una marcha nacional para exigir elecciones presidenciales en 2027. </w:t>
      </w:r>
      <w:hyperlink r:id="rId29" w:history="1">
        <w:r w:rsidR="00DF147D" w:rsidRPr="00CB4A49">
          <w:rPr>
            <w:rStyle w:val="Hipervnculo"/>
            <w:rFonts w:ascii="Abadi" w:eastAsia="Calibri" w:hAnsi="Abadi" w:cs="Calibri"/>
            <w:sz w:val="24"/>
            <w:szCs w:val="24"/>
          </w:rPr>
          <w:t>https://www.infobae.com/venezuela/2026/10/20/</w:t>
        </w:r>
      </w:hyperlink>
    </w:p>
    <w:p w14:paraId="099735D2" w14:textId="77777777" w:rsidR="0018255F" w:rsidRPr="00CB4A49" w:rsidRDefault="0018255F" w:rsidP="0018255F">
      <w:pPr>
        <w:ind w:left="480" w:hanging="480"/>
        <w:rPr>
          <w:rFonts w:ascii="Abadi" w:hAnsi="Abadi"/>
          <w:sz w:val="24"/>
          <w:szCs w:val="24"/>
        </w:rPr>
      </w:pPr>
    </w:p>
    <w:p w14:paraId="08F860A1" w14:textId="77777777"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S&amp;P Global / OilNow (2025). China debt seen as major hurdle in Venezuela's bid to restructure US$150B+ liabilities. </w:t>
      </w:r>
      <w:hyperlink r:id="rId30" w:history="1">
        <w:r w:rsidR="00DF147D">
          <w:rPr>
            <w:rStyle w:val="Hipervnculo"/>
            <w:rFonts w:ascii="Abadi" w:eastAsia="Calibri" w:hAnsi="Abadi" w:cs="Calibri"/>
            <w:sz w:val="24"/>
            <w:szCs w:val="24"/>
          </w:rPr>
          <w:t>https://oilnow.gy/featured/china-debt-seen-as-major-hurdle-in-venezuelas-bid-to-restructure-us150b-liabilities-sp-global/</w:t>
        </w:r>
      </w:hyperlink>
    </w:p>
    <w:p w14:paraId="3B9FC1D4" w14:textId="77777777" w:rsidR="00D978F8" w:rsidRPr="0018255F" w:rsidRDefault="00D978F8" w:rsidP="0018255F">
      <w:pPr>
        <w:ind w:left="480" w:hanging="480"/>
        <w:rPr>
          <w:rFonts w:ascii="Abadi" w:hAnsi="Abadi"/>
          <w:sz w:val="24"/>
          <w:szCs w:val="24"/>
        </w:rPr>
      </w:pPr>
    </w:p>
    <w:p w14:paraId="7ADBA479" w14:textId="77777777"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S&amp;P Global Commodity Insights (dic. 2023). Factbox: Seaborne trade reroutes away from Red Sea over Houthi attacks. </w:t>
      </w:r>
      <w:hyperlink r:id="rId31" w:history="1">
        <w:r w:rsidR="00DF147D">
          <w:rPr>
            <w:rStyle w:val="Hipervnculo"/>
            <w:rFonts w:ascii="Abadi" w:eastAsia="Calibri" w:hAnsi="Abadi" w:cs="Calibri"/>
            <w:sz w:val="24"/>
            <w:szCs w:val="24"/>
          </w:rPr>
          <w:t>https://www.spglobal.com/commodityinsights/en/market-insights/latest-news/shipping/122123-factbox-seaborne-trade-reroutes-away-from-red-sea-over-houthi-attacks</w:t>
        </w:r>
      </w:hyperlink>
    </w:p>
    <w:p w14:paraId="5741BA94" w14:textId="77777777" w:rsidR="00D978F8" w:rsidRPr="0018255F" w:rsidRDefault="00D978F8" w:rsidP="0018255F">
      <w:pPr>
        <w:ind w:left="480" w:hanging="480"/>
        <w:rPr>
          <w:rFonts w:ascii="Abadi" w:hAnsi="Abadi"/>
          <w:sz w:val="24"/>
          <w:szCs w:val="24"/>
        </w:rPr>
      </w:pPr>
    </w:p>
    <w:p w14:paraId="0F9FAD17" w14:textId="77777777" w:rsidR="00DF147D" w:rsidRPr="00CB4A49" w:rsidRDefault="00000000" w:rsidP="0018255F">
      <w:pPr>
        <w:ind w:left="480" w:hanging="480"/>
        <w:rPr>
          <w:rFonts w:ascii="Abadi" w:eastAsia="Calibri" w:hAnsi="Abadi" w:cs="Calibri"/>
          <w:sz w:val="24"/>
          <w:szCs w:val="24"/>
        </w:rPr>
      </w:pPr>
      <w:r>
        <w:rPr>
          <w:rFonts w:ascii="Abadi" w:eastAsia="Calibri" w:hAnsi="Abadi" w:cs="Calibri"/>
          <w:sz w:val="24"/>
          <w:szCs w:val="24"/>
          <w:lang w:val="es-ES"/>
        </w:rPr>
        <w:t xml:space="preserve">Wikipedia / Negociaciones Venezuela 2026. Negociaciones entre el gobierno y la oposición venezolana de 2026. </w:t>
      </w:r>
      <w:hyperlink r:id="rId32" w:history="1">
        <w:r w:rsidR="00DF147D" w:rsidRPr="00CB4A49">
          <w:rPr>
            <w:rStyle w:val="Hipervnculo"/>
            <w:rFonts w:ascii="Abadi" w:eastAsia="Calibri" w:hAnsi="Abadi" w:cs="Calibri"/>
            <w:sz w:val="24"/>
            <w:szCs w:val="24"/>
          </w:rPr>
          <w:t>https://es.wikipedia.org/wiki/Negociaciones_entre_el_gobierno_y_la_oposici%C3%B3n_venezolana_de_2026</w:t>
        </w:r>
      </w:hyperlink>
    </w:p>
    <w:p w14:paraId="7BBFFF5A" w14:textId="77777777" w:rsidR="00D978F8" w:rsidRPr="00CB4A49" w:rsidRDefault="00D978F8" w:rsidP="0018255F">
      <w:pPr>
        <w:ind w:left="480" w:hanging="480"/>
        <w:rPr>
          <w:rFonts w:ascii="Abadi" w:hAnsi="Abadi"/>
          <w:sz w:val="24"/>
          <w:szCs w:val="24"/>
        </w:rPr>
      </w:pPr>
    </w:p>
    <w:p w14:paraId="0FB42226" w14:textId="77777777" w:rsidR="00DF147D" w:rsidRPr="00CB4A49" w:rsidRDefault="00DF147D" w:rsidP="00FF37C1">
      <w:pPr>
        <w:jc w:val="both"/>
        <w:rPr>
          <w:rFonts w:ascii="Abadi" w:hAnsi="Abadi"/>
          <w:sz w:val="24"/>
          <w:szCs w:val="24"/>
        </w:rPr>
      </w:pPr>
    </w:p>
    <w:p w14:paraId="0C8EC86D"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Rubio, M. (25 octubre 2026). Declaraciones sobre el regreso de María Corina Machado. Departamento de Estado de los Estados Unidos. Washington D.C.</w:t>
      </w:r>
    </w:p>
    <w:p w14:paraId="5CABAF0D"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Trump, D. (25 octubre 2026). Declaraciones a medios de comunicación sobre MCM. Casa Blanca. Washington D.C.</w:t>
      </w:r>
    </w:p>
    <w:p w14:paraId="41675B11"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lastRenderedPageBreak/>
        <w:t>Machado, M.C. (25 octubre 2026). @MariaCorinaYA: "Estoy aquí. Con ustedes." [Post en X]. https://x.com/MariaCorinaYA</w:t>
      </w:r>
    </w:p>
    <w:p w14:paraId="351D70BF"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 xml:space="preserve">Departamento del Tesoro de EE.UU. (14 octubre 2026). </w:t>
      </w:r>
      <w:r w:rsidRPr="00CB4A49">
        <w:rPr>
          <w:rFonts w:ascii="Abadi" w:eastAsia="Calibri" w:hAnsi="Abadi" w:cs="Calibri"/>
          <w:color w:val="1A1A1A"/>
          <w:sz w:val="24"/>
          <w:szCs w:val="24"/>
        </w:rPr>
        <w:t xml:space="preserve">Treasury Actions on Venezuela: Removal of Jorge Rodríguez from OFAC Sanctions List. </w:t>
      </w:r>
      <w:r>
        <w:rPr>
          <w:rFonts w:ascii="Abadi" w:eastAsia="Calibri" w:hAnsi="Abadi" w:cs="Calibri"/>
          <w:color w:val="1A1A1A"/>
          <w:sz w:val="24"/>
          <w:szCs w:val="24"/>
          <w:lang w:val="es-ES"/>
        </w:rPr>
        <w:t>OFAC. Washington D.C.</w:t>
      </w:r>
    </w:p>
    <w:p w14:paraId="457B137F"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 xml:space="preserve">Departamento de Estado de EE.UU. (23 octubre 2026). </w:t>
      </w:r>
      <w:r w:rsidRPr="00CB4A49">
        <w:rPr>
          <w:rFonts w:ascii="Abadi" w:eastAsia="Calibri" w:hAnsi="Abadi" w:cs="Calibri"/>
          <w:color w:val="1A1A1A"/>
          <w:sz w:val="24"/>
          <w:szCs w:val="24"/>
        </w:rPr>
        <w:t xml:space="preserve">Statement on Venezuela Negotiations: Concrete Results. </w:t>
      </w:r>
      <w:r>
        <w:rPr>
          <w:rFonts w:ascii="Abadi" w:eastAsia="Calibri" w:hAnsi="Abadi" w:cs="Calibri"/>
          <w:color w:val="1A1A1A"/>
          <w:sz w:val="24"/>
          <w:szCs w:val="24"/>
          <w:lang w:val="es-ES"/>
        </w:rPr>
        <w:t>Washington D.C.</w:t>
      </w:r>
    </w:p>
    <w:p w14:paraId="1DA7CD40"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CEPAL (octubre 2026). Panorama Económico y Social de América Latina 2026: Venezuela proyecta crecimiento del PIB de 6,5%. https://www.cepal.org</w:t>
      </w:r>
    </w:p>
    <w:p w14:paraId="4979C91F" w14:textId="77777777" w:rsidR="00DF147D" w:rsidRDefault="00000000" w:rsidP="00A7547F">
      <w:pPr>
        <w:ind w:right="-90" w:firstLine="720"/>
        <w:jc w:val="both"/>
        <w:rPr>
          <w:rFonts w:ascii="Abadi" w:eastAsia="Calibri" w:hAnsi="Abadi" w:cs="Calibri"/>
          <w:color w:val="1A1A1A"/>
          <w:sz w:val="24"/>
          <w:szCs w:val="24"/>
          <w:lang w:val="es-ES"/>
        </w:rPr>
      </w:pPr>
      <w:r>
        <w:rPr>
          <w:rFonts w:ascii="Abadi" w:eastAsia="Calibri" w:hAnsi="Abadi" w:cs="Calibri"/>
          <w:color w:val="1A1A1A"/>
          <w:sz w:val="24"/>
          <w:szCs w:val="24"/>
          <w:lang w:val="es-ES"/>
        </w:rPr>
        <w:t>PDVSA (octubre 2026). Informe Operacional Q3-2026: producción supera 1,2 M bpd. Petróleos de Venezuela S.A. Caracas.</w:t>
      </w:r>
    </w:p>
    <w:p w14:paraId="60257EEE" w14:textId="77777777" w:rsidR="00DF147D" w:rsidRPr="00CB4A49" w:rsidRDefault="00000000" w:rsidP="00A7547F">
      <w:pPr>
        <w:ind w:right="-90" w:firstLine="720"/>
        <w:jc w:val="both"/>
        <w:rPr>
          <w:rFonts w:ascii="Abadi" w:eastAsia="Calibri" w:hAnsi="Abadi" w:cs="Calibri"/>
          <w:color w:val="1A1A1A"/>
          <w:sz w:val="24"/>
          <w:szCs w:val="24"/>
        </w:rPr>
      </w:pPr>
      <w:r>
        <w:rPr>
          <w:rFonts w:ascii="Abadi" w:eastAsia="Calibri" w:hAnsi="Abadi" w:cs="Calibri"/>
          <w:color w:val="1A1A1A"/>
          <w:sz w:val="24"/>
          <w:szCs w:val="24"/>
          <w:lang w:val="es-ES"/>
        </w:rPr>
        <w:t xml:space="preserve">Reuters Energy Desk (octubre 2026). </w:t>
      </w:r>
      <w:r w:rsidRPr="00CB4A49">
        <w:rPr>
          <w:rFonts w:ascii="Abadi" w:eastAsia="Calibri" w:hAnsi="Abadi" w:cs="Calibri"/>
          <w:color w:val="1A1A1A"/>
          <w:sz w:val="24"/>
          <w:szCs w:val="24"/>
        </w:rPr>
        <w:t>Venezuela oil output holds above 1.2M bpd in Q3 2026; 61 bilateral agreements signed. https://www.reuters.com</w:t>
      </w:r>
    </w:p>
    <w:sectPr w:rsidR="00DF147D" w:rsidRPr="00CB4A49">
      <w:headerReference w:type="default" r:id="rId33"/>
      <w:footerReference w:type="default" r:id="rId34"/>
      <w:pgSz w:w="12240" w:h="15840"/>
      <w:pgMar w:top="1080" w:right="1080" w:bottom="12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1BBDE" w14:textId="77777777" w:rsidR="00FB277E" w:rsidRDefault="00FB277E">
      <w:r>
        <w:separator/>
      </w:r>
    </w:p>
  </w:endnote>
  <w:endnote w:type="continuationSeparator" w:id="0">
    <w:p w14:paraId="5CA5C076" w14:textId="77777777" w:rsidR="00FB277E" w:rsidRDefault="00F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2D6AA" w14:textId="77777777" w:rsidR="00285886" w:rsidRPr="00285886" w:rsidRDefault="00A36492">
    <w:pPr>
      <w:tabs>
        <w:tab w:val="center" w:pos="4550"/>
        <w:tab w:val="left" w:pos="5818"/>
      </w:tabs>
      <w:ind w:right="260"/>
      <w:jc w:val="right"/>
      <w:rPr>
        <w:rFonts w:ascii="Abadi" w:hAnsi="Abadi"/>
        <w:color w:val="222A35" w:themeColor="text2" w:themeShade="80"/>
        <w:sz w:val="24"/>
        <w:szCs w:val="24"/>
      </w:rPr>
    </w:pPr>
    <w:r>
      <w:rPr>
        <w:rFonts w:ascii="Abadi" w:hAnsi="Abadi"/>
        <w:color w:val="8496B0" w:themeColor="text2" w:themeTint="99"/>
        <w:spacing w:val="60"/>
        <w:sz w:val="24"/>
        <w:szCs w:val="24"/>
      </w:rPr>
      <w:t xml:space="preserve">OpenForumOilGasMines.com </w:t>
    </w:r>
    <w:r w:rsidR="00285886" w:rsidRPr="00285886">
      <w:rPr>
        <w:rFonts w:ascii="Abadi" w:hAnsi="Abadi"/>
        <w:color w:val="8496B0" w:themeColor="text2" w:themeTint="99"/>
        <w:spacing w:val="60"/>
        <w:sz w:val="24"/>
        <w:szCs w:val="24"/>
      </w:rPr>
      <w:t>Page</w:t>
    </w:r>
    <w:r w:rsidR="00285886" w:rsidRPr="00285886">
      <w:rPr>
        <w:rFonts w:ascii="Abadi" w:hAnsi="Abadi"/>
        <w:color w:val="8496B0" w:themeColor="text2" w:themeTint="99"/>
        <w:sz w:val="24"/>
        <w:szCs w:val="24"/>
      </w:rPr>
      <w:t xml:space="preserve"> </w:t>
    </w:r>
    <w:r w:rsidR="00285886" w:rsidRPr="00285886">
      <w:rPr>
        <w:rFonts w:ascii="Abadi" w:hAnsi="Abadi"/>
        <w:color w:val="323E4F" w:themeColor="text2" w:themeShade="BF"/>
        <w:sz w:val="24"/>
        <w:szCs w:val="24"/>
      </w:rPr>
      <w:fldChar w:fldCharType="begin"/>
    </w:r>
    <w:r w:rsidR="00285886" w:rsidRPr="00285886">
      <w:rPr>
        <w:rFonts w:ascii="Abadi" w:hAnsi="Abadi"/>
        <w:color w:val="323E4F" w:themeColor="text2" w:themeShade="BF"/>
        <w:sz w:val="24"/>
        <w:szCs w:val="24"/>
      </w:rPr>
      <w:instrText xml:space="preserve"> PAGE   \* MERGEFORMAT </w:instrText>
    </w:r>
    <w:r w:rsidR="00285886" w:rsidRPr="00285886">
      <w:rPr>
        <w:rFonts w:ascii="Abadi" w:hAnsi="Abadi"/>
        <w:color w:val="323E4F" w:themeColor="text2" w:themeShade="BF"/>
        <w:sz w:val="24"/>
        <w:szCs w:val="24"/>
      </w:rPr>
      <w:fldChar w:fldCharType="separate"/>
    </w:r>
    <w:r w:rsidR="00285886" w:rsidRPr="00285886">
      <w:rPr>
        <w:rFonts w:ascii="Abadi" w:hAnsi="Abadi"/>
        <w:noProof/>
        <w:color w:val="323E4F" w:themeColor="text2" w:themeShade="BF"/>
        <w:sz w:val="24"/>
        <w:szCs w:val="24"/>
      </w:rPr>
      <w:t>1</w:t>
    </w:r>
    <w:r w:rsidR="00285886" w:rsidRPr="00285886">
      <w:rPr>
        <w:rFonts w:ascii="Abadi" w:hAnsi="Abadi"/>
        <w:color w:val="323E4F" w:themeColor="text2" w:themeShade="BF"/>
        <w:sz w:val="24"/>
        <w:szCs w:val="24"/>
      </w:rPr>
      <w:fldChar w:fldCharType="end"/>
    </w:r>
    <w:r w:rsidR="00285886" w:rsidRPr="00285886">
      <w:rPr>
        <w:rFonts w:ascii="Abadi" w:hAnsi="Abadi"/>
        <w:color w:val="323E4F" w:themeColor="text2" w:themeShade="BF"/>
        <w:sz w:val="24"/>
        <w:szCs w:val="24"/>
      </w:rPr>
      <w:t xml:space="preserve"> | </w:t>
    </w:r>
    <w:r w:rsidR="00285886" w:rsidRPr="00285886">
      <w:rPr>
        <w:rFonts w:ascii="Abadi" w:hAnsi="Abadi"/>
        <w:color w:val="323E4F" w:themeColor="text2" w:themeShade="BF"/>
        <w:sz w:val="24"/>
        <w:szCs w:val="24"/>
      </w:rPr>
      <w:fldChar w:fldCharType="begin"/>
    </w:r>
    <w:r w:rsidR="00285886" w:rsidRPr="00285886">
      <w:rPr>
        <w:rFonts w:ascii="Abadi" w:hAnsi="Abadi"/>
        <w:color w:val="323E4F" w:themeColor="text2" w:themeShade="BF"/>
        <w:sz w:val="24"/>
        <w:szCs w:val="24"/>
      </w:rPr>
      <w:instrText xml:space="preserve"> NUMPAGES  \* Arabic  \* MERGEFORMAT </w:instrText>
    </w:r>
    <w:r w:rsidR="00285886" w:rsidRPr="00285886">
      <w:rPr>
        <w:rFonts w:ascii="Abadi" w:hAnsi="Abadi"/>
        <w:color w:val="323E4F" w:themeColor="text2" w:themeShade="BF"/>
        <w:sz w:val="24"/>
        <w:szCs w:val="24"/>
      </w:rPr>
      <w:fldChar w:fldCharType="separate"/>
    </w:r>
    <w:r w:rsidR="00285886" w:rsidRPr="00285886">
      <w:rPr>
        <w:rFonts w:ascii="Abadi" w:hAnsi="Abadi"/>
        <w:noProof/>
        <w:color w:val="323E4F" w:themeColor="text2" w:themeShade="BF"/>
        <w:sz w:val="24"/>
        <w:szCs w:val="24"/>
      </w:rPr>
      <w:t>1</w:t>
    </w:r>
    <w:r w:rsidR="00285886" w:rsidRPr="00285886">
      <w:rPr>
        <w:rFonts w:ascii="Abadi" w:hAnsi="Abadi"/>
        <w:color w:val="323E4F" w:themeColor="text2" w:themeShade="BF"/>
        <w:sz w:val="24"/>
        <w:szCs w:val="24"/>
      </w:rPr>
      <w:fldChar w:fldCharType="end"/>
    </w:r>
  </w:p>
  <w:p w14:paraId="34F1EC35" w14:textId="77777777" w:rsidR="00DF147D" w:rsidRPr="00285886" w:rsidRDefault="00DF147D" w:rsidP="002858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7112E" w14:textId="77777777" w:rsidR="00FB277E" w:rsidRDefault="00FB277E">
      <w:r>
        <w:separator/>
      </w:r>
    </w:p>
  </w:footnote>
  <w:footnote w:type="continuationSeparator" w:id="0">
    <w:p w14:paraId="7F913D24" w14:textId="77777777" w:rsidR="00FB277E" w:rsidRDefault="00FB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50198" w14:textId="77777777" w:rsidR="00DF147D" w:rsidRPr="00FF37C1" w:rsidRDefault="00000000">
    <w:pPr>
      <w:pBdr>
        <w:bottom w:val="single" w:sz="4" w:space="0" w:color="CCCCCC"/>
      </w:pBdr>
      <w:spacing w:after="80"/>
      <w:rPr>
        <w:rFonts w:ascii="Abadi" w:hAnsi="Abadi"/>
        <w:b/>
        <w:bCs/>
        <w:sz w:val="22"/>
        <w:szCs w:val="22"/>
        <w:lang w:val="es-ES"/>
      </w:rPr>
    </w:pPr>
    <w:r w:rsidRPr="00FF37C1">
      <w:rPr>
        <w:rFonts w:ascii="Abadi" w:eastAsia="Calibri" w:hAnsi="Abadi" w:cs="Calibri"/>
        <w:b/>
        <w:bCs/>
        <w:color w:val="4A4A4A"/>
        <w:sz w:val="22"/>
        <w:szCs w:val="22"/>
        <w:lang w:val="es-ES"/>
      </w:rPr>
      <w:t>AIST — Intelligence Briefing  |  Venezuela: Situación Estratégica Integral  |  Octubre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667BF"/>
    <w:multiLevelType w:val="hybridMultilevel"/>
    <w:tmpl w:val="C66CB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EE20E8"/>
    <w:multiLevelType w:val="hybridMultilevel"/>
    <w:tmpl w:val="32AA1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521AAC"/>
    <w:multiLevelType w:val="hybridMultilevel"/>
    <w:tmpl w:val="E5741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0B29CA"/>
    <w:multiLevelType w:val="hybridMultilevel"/>
    <w:tmpl w:val="E4A4F5BA"/>
    <w:lvl w:ilvl="0" w:tplc="6AACB89A" w:tentative="1">
      <w:start w:val="1"/>
      <w:numFmt w:val="bullet"/>
      <w:lvlText w:val="●"/>
      <w:lvlJc w:val="left"/>
      <w:pPr>
        <w:ind w:left="720" w:hanging="360"/>
      </w:pPr>
    </w:lvl>
    <w:lvl w:ilvl="1" w:tplc="67940CD0" w:tentative="1">
      <w:start w:val="1"/>
      <w:numFmt w:val="bullet"/>
      <w:lvlText w:val="○"/>
      <w:lvlJc w:val="left"/>
      <w:pPr>
        <w:ind w:left="1440" w:hanging="360"/>
      </w:pPr>
    </w:lvl>
    <w:lvl w:ilvl="2" w:tplc="E2F2E8F4" w:tentative="1">
      <w:start w:val="1"/>
      <w:numFmt w:val="bullet"/>
      <w:lvlText w:val="■"/>
      <w:lvlJc w:val="left"/>
      <w:pPr>
        <w:ind w:left="2160" w:hanging="360"/>
      </w:pPr>
    </w:lvl>
    <w:lvl w:ilvl="3" w:tplc="8B969210" w:tentative="1">
      <w:start w:val="1"/>
      <w:numFmt w:val="bullet"/>
      <w:lvlText w:val="●"/>
      <w:lvlJc w:val="left"/>
      <w:pPr>
        <w:ind w:left="2880" w:hanging="360"/>
      </w:pPr>
    </w:lvl>
    <w:lvl w:ilvl="4" w:tplc="F2146896" w:tentative="1">
      <w:start w:val="1"/>
      <w:numFmt w:val="bullet"/>
      <w:lvlText w:val="○"/>
      <w:lvlJc w:val="left"/>
      <w:pPr>
        <w:ind w:left="3600" w:hanging="360"/>
      </w:pPr>
    </w:lvl>
    <w:lvl w:ilvl="5" w:tplc="E11A4A64" w:tentative="1">
      <w:start w:val="1"/>
      <w:numFmt w:val="bullet"/>
      <w:lvlText w:val="■"/>
      <w:lvlJc w:val="left"/>
      <w:pPr>
        <w:ind w:left="4320" w:hanging="360"/>
      </w:pPr>
    </w:lvl>
    <w:lvl w:ilvl="6" w:tplc="6D9C6B74" w:tentative="1">
      <w:start w:val="1"/>
      <w:numFmt w:val="bullet"/>
      <w:lvlText w:val="●"/>
      <w:lvlJc w:val="left"/>
      <w:pPr>
        <w:ind w:left="5040" w:hanging="360"/>
      </w:pPr>
    </w:lvl>
    <w:lvl w:ilvl="7" w:tplc="A030CF88" w:tentative="1">
      <w:start w:val="1"/>
      <w:numFmt w:val="bullet"/>
      <w:lvlText w:val="●"/>
      <w:lvlJc w:val="left"/>
      <w:pPr>
        <w:ind w:left="5760" w:hanging="360"/>
      </w:pPr>
    </w:lvl>
    <w:lvl w:ilvl="8" w:tplc="2E62AA9A" w:tentative="1">
      <w:start w:val="1"/>
      <w:numFmt w:val="bullet"/>
      <w:lvlText w:val="●"/>
      <w:lvlJc w:val="left"/>
      <w:pPr>
        <w:ind w:left="6480" w:hanging="360"/>
      </w:pPr>
    </w:lvl>
  </w:abstractNum>
  <w:abstractNum w:abstractNumId="4" w15:restartNumberingAfterBreak="0">
    <w:nsid w:val="62F34680"/>
    <w:multiLevelType w:val="hybridMultilevel"/>
    <w:tmpl w:val="AC84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6E3C46"/>
    <w:multiLevelType w:val="hybridMultilevel"/>
    <w:tmpl w:val="09986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FC35B2"/>
    <w:multiLevelType w:val="hybridMultilevel"/>
    <w:tmpl w:val="98DCCCBA"/>
    <w:lvl w:ilvl="0" w:tplc="8892DD9E">
      <w:start w:val="1"/>
      <w:numFmt w:val="decimal"/>
      <w:lvlText w:val="%1."/>
      <w:lvlJc w:val="left"/>
      <w:pPr>
        <w:ind w:left="720" w:hanging="360"/>
      </w:pPr>
      <w:rPr>
        <w:rFonts w:eastAsia="Calibri" w:cs="Calibri" w:hint="default"/>
        <w:b/>
        <w:color w:val="1B2A4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6556992">
    <w:abstractNumId w:val="3"/>
    <w:lvlOverride w:ilvl="0">
      <w:startOverride w:val="1"/>
    </w:lvlOverride>
  </w:num>
  <w:num w:numId="2" w16cid:durableId="975573448">
    <w:abstractNumId w:val="4"/>
  </w:num>
  <w:num w:numId="3" w16cid:durableId="1059283606">
    <w:abstractNumId w:val="5"/>
  </w:num>
  <w:num w:numId="4" w16cid:durableId="357901134">
    <w:abstractNumId w:val="0"/>
  </w:num>
  <w:num w:numId="5" w16cid:durableId="260532982">
    <w:abstractNumId w:val="1"/>
  </w:num>
  <w:num w:numId="6" w16cid:durableId="1374380223">
    <w:abstractNumId w:val="2"/>
  </w:num>
  <w:num w:numId="7" w16cid:durableId="5031289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47D"/>
    <w:rsid w:val="00016444"/>
    <w:rsid w:val="0018255F"/>
    <w:rsid w:val="00285886"/>
    <w:rsid w:val="002C5564"/>
    <w:rsid w:val="0083012F"/>
    <w:rsid w:val="00A36492"/>
    <w:rsid w:val="00A7547F"/>
    <w:rsid w:val="00AA2B3C"/>
    <w:rsid w:val="00BD03AE"/>
    <w:rsid w:val="00C51954"/>
    <w:rsid w:val="00CB4A49"/>
    <w:rsid w:val="00D978F8"/>
    <w:rsid w:val="00DF147D"/>
    <w:rsid w:val="00FB277E"/>
    <w:rsid w:val="00FF3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D831D"/>
  <w15:docId w15:val="{8E768231-372B-4E62-BE6E-5929404D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color w:val="2E74B5"/>
      <w:sz w:val="32"/>
      <w:szCs w:val="32"/>
    </w:rPr>
  </w:style>
  <w:style w:type="paragraph" w:styleId="Ttulo2">
    <w:name w:val="heading 2"/>
    <w:basedOn w:val="Normal"/>
    <w:next w:val="Normal"/>
    <w:uiPriority w:val="9"/>
    <w:semiHidden/>
    <w:unhideWhenUsed/>
    <w:qFormat/>
    <w:pPr>
      <w:outlineLvl w:val="1"/>
    </w:pPr>
    <w:rPr>
      <w:color w:val="2E74B5"/>
      <w:sz w:val="26"/>
      <w:szCs w:val="26"/>
    </w:rPr>
  </w:style>
  <w:style w:type="paragraph" w:styleId="Ttulo3">
    <w:name w:val="heading 3"/>
    <w:basedOn w:val="Normal"/>
    <w:next w:val="Normal"/>
    <w:uiPriority w:val="9"/>
    <w:semiHidden/>
    <w:unhideWhenUsed/>
    <w:qFormat/>
    <w:pPr>
      <w:outlineLvl w:val="2"/>
    </w:pPr>
    <w:rPr>
      <w:color w:val="1F4D78"/>
      <w:sz w:val="24"/>
      <w:szCs w:val="24"/>
    </w:rPr>
  </w:style>
  <w:style w:type="paragraph" w:styleId="Ttulo4">
    <w:name w:val="heading 4"/>
    <w:basedOn w:val="Normal"/>
    <w:next w:val="Normal"/>
    <w:uiPriority w:val="9"/>
    <w:semiHidden/>
    <w:unhideWhenUsed/>
    <w:qFormat/>
    <w:pPr>
      <w:outlineLvl w:val="3"/>
    </w:pPr>
    <w:rPr>
      <w:i/>
      <w:iCs/>
      <w:color w:val="2E74B5"/>
    </w:rPr>
  </w:style>
  <w:style w:type="paragraph" w:styleId="Ttulo5">
    <w:name w:val="heading 5"/>
    <w:basedOn w:val="Normal"/>
    <w:next w:val="Normal"/>
    <w:uiPriority w:val="9"/>
    <w:semiHidden/>
    <w:unhideWhenUsed/>
    <w:qFormat/>
    <w:pPr>
      <w:outlineLvl w:val="4"/>
    </w:pPr>
    <w:rPr>
      <w:color w:val="2E74B5"/>
    </w:rPr>
  </w:style>
  <w:style w:type="paragraph" w:styleId="Ttulo6">
    <w:name w:val="heading 6"/>
    <w:basedOn w:val="Normal"/>
    <w:next w:val="Normal"/>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rPr>
      <w:sz w:val="56"/>
      <w:szCs w:val="56"/>
    </w:rPr>
  </w:style>
  <w:style w:type="paragraph" w:customStyle="1" w:styleId="Fuerte1">
    <w:name w:val="Fuerte1"/>
    <w:basedOn w:val="Normal"/>
    <w:next w:val="Normal"/>
    <w:qFormat/>
    <w:rPr>
      <w:b/>
      <w:bCs/>
    </w:rPr>
  </w:style>
  <w:style w:type="paragraph" w:styleId="Prrafodelista">
    <w:name w:val="List Paragraph"/>
    <w:basedOn w:val="Normal"/>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basedOn w:val="Normal"/>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basedOn w:val="Normal"/>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FF37C1"/>
    <w:pPr>
      <w:tabs>
        <w:tab w:val="center" w:pos="4680"/>
        <w:tab w:val="right" w:pos="9360"/>
      </w:tabs>
    </w:pPr>
  </w:style>
  <w:style w:type="character" w:customStyle="1" w:styleId="EncabezadoCar">
    <w:name w:val="Encabezado Car"/>
    <w:basedOn w:val="Fuentedeprrafopredeter"/>
    <w:link w:val="Encabezado"/>
    <w:uiPriority w:val="99"/>
    <w:rsid w:val="00FF37C1"/>
  </w:style>
  <w:style w:type="paragraph" w:styleId="Piedepgina">
    <w:name w:val="footer"/>
    <w:basedOn w:val="Normal"/>
    <w:link w:val="PiedepginaCar"/>
    <w:uiPriority w:val="99"/>
    <w:unhideWhenUsed/>
    <w:rsid w:val="00FF37C1"/>
    <w:pPr>
      <w:tabs>
        <w:tab w:val="center" w:pos="4680"/>
        <w:tab w:val="right" w:pos="9360"/>
      </w:tabs>
    </w:pPr>
  </w:style>
  <w:style w:type="character" w:customStyle="1" w:styleId="PiedepginaCar">
    <w:name w:val="Pie de página Car"/>
    <w:basedOn w:val="Fuentedeprrafopredeter"/>
    <w:link w:val="Piedepgina"/>
    <w:uiPriority w:val="99"/>
    <w:rsid w:val="00FF37C1"/>
  </w:style>
  <w:style w:type="character" w:styleId="Mencinsinresolver">
    <w:name w:val="Unresolved Mention"/>
    <w:basedOn w:val="Fuentedeprrafopredeter"/>
    <w:uiPriority w:val="99"/>
    <w:semiHidden/>
    <w:unhideWhenUsed/>
    <w:rsid w:val="00182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ndp.org/sites/g/files/zskgke326/files/2025-09/reportemacroeconomicos2501_digital_v3.pdf" TargetMode="External"/><Relationship Id="rId18" Type="http://schemas.openxmlformats.org/officeDocument/2006/relationships/hyperlink" Target="https://npr.org/2026/09/02/nx-s1-5952190/chevron-venezuela-oil-deal" TargetMode="External"/><Relationship Id="rId26" Type="http://schemas.openxmlformats.org/officeDocument/2006/relationships/hyperlink" Target="https://eldiario.com/2026/05/09/cortes-electricos-venezuela/" TargetMode="External"/><Relationship Id="rId3" Type="http://schemas.openxmlformats.org/officeDocument/2006/relationships/settings" Target="settings.xml"/><Relationship Id="rId21" Type="http://schemas.openxmlformats.org/officeDocument/2006/relationships/hyperlink" Target="https://www.resumenlatinoamericano.org/2025/07/10/"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americaeconomica.com/" TargetMode="External"/><Relationship Id="rId17" Type="http://schemas.openxmlformats.org/officeDocument/2006/relationships/hyperlink" Target="https://www.khaleejtimes.com/business/chevron-expands-venezuela-presence-with-7-billion-plan-to-double-output-in-five-years" TargetMode="External"/><Relationship Id="rId25" Type="http://schemas.openxmlformats.org/officeDocument/2006/relationships/hyperlink" Target="https://www.portafolio.co/internacional/apagones-en-venezuela-se-extienden-zulia-concentra-la-crisis-y-99-de-hogares-reporta-cortes-501908"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observatorio.gob.ve/venezuela-afianza-recuperacion-petrolera-al-superar-1-millon-de-barriles-diarios-en-enero/" TargetMode="External"/><Relationship Id="rId20" Type="http://schemas.openxmlformats.org/officeDocument/2006/relationships/hyperlink" Target="https://about.bnef.com/insights/commodities/venezuelas-oil-renaissance-faces-several-high-hurdles" TargetMode="External"/><Relationship Id="rId29" Type="http://schemas.openxmlformats.org/officeDocument/2006/relationships/hyperlink" Target="https://www.infobae.com/venezuela/2026/10/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nanzasdigital.com/pib-venezuela-segundo-trimestre-2025-crecimiento-economico-bcv-maduro/" TargetMode="External"/><Relationship Id="rId24" Type="http://schemas.openxmlformats.org/officeDocument/2006/relationships/hyperlink" Target="https://lapatilla.com/2025/08/08/la-mineria-venezolana-es-un-sector-con-alto-potencial-pero-lastrado-por-la-informalidad/" TargetMode="External"/><Relationship Id="rId32" Type="http://schemas.openxmlformats.org/officeDocument/2006/relationships/hyperlink" Target="https://es.wikipedia.org/wiki/Negociaciones_entre_el_gobierno_y_la_oposici%C3%B3n_venezolana_de_2026" TargetMode="External"/><Relationship Id="rId5" Type="http://schemas.openxmlformats.org/officeDocument/2006/relationships/footnotes" Target="footnotes.xml"/><Relationship Id="rId15" Type="http://schemas.openxmlformats.org/officeDocument/2006/relationships/hyperlink" Target="https://www.infobae.com/america/agencias/2025/01/15/la-produccion-petrolera-de-venezuela-crece-un-176-en-2024/" TargetMode="External"/><Relationship Id="rId23" Type="http://schemas.openxmlformats.org/officeDocument/2006/relationships/hyperlink" Target="https://www.hartenergy.com/exclusives/chart-talk-trinidad-eyes-venezuelan-gas-supply-mariscal-sucre-project-203970/" TargetMode="External"/><Relationship Id="rId28" Type="http://schemas.openxmlformats.org/officeDocument/2006/relationships/hyperlink" Target="https://www.infobae.com/america/agencias/2026/10/18/" TargetMode="External"/><Relationship Id="rId36" Type="http://schemas.openxmlformats.org/officeDocument/2006/relationships/theme" Target="theme/theme1.xml"/><Relationship Id="rId10" Type="http://schemas.openxmlformats.org/officeDocument/2006/relationships/hyperlink" Target="https://www.imf.org/en/Publications/WEO" TargetMode="External"/><Relationship Id="rId19" Type="http://schemas.openxmlformats.org/officeDocument/2006/relationships/hyperlink" Target="https://oilnow.gy/news/chevron-says-it-can-boost-venezuela-production-up-to-50-in-24-months/" TargetMode="External"/><Relationship Id="rId31" Type="http://schemas.openxmlformats.org/officeDocument/2006/relationships/hyperlink" Target="https://www.spglobal.com/commodityinsights/en/market-insights/latest-news/shipping/122123-factbox-seaborne-trade-reroutes-away-from-red-sea-over-houthi-attacks" TargetMode="External"/><Relationship Id="rId4" Type="http://schemas.openxmlformats.org/officeDocument/2006/relationships/webSettings" Target="webSettings.xml"/><Relationship Id="rId9" Type="http://schemas.openxmlformats.org/officeDocument/2006/relationships/hyperlink" Target="https://www.opec.org/opec_web/en/data_graphs/330.htm" TargetMode="External"/><Relationship Id="rId14" Type="http://schemas.openxmlformats.org/officeDocument/2006/relationships/hyperlink" Target="https://efectococuyo.com/politica/proyecciones-economicas-2025-ecoanalitica-situacion-bastante-compleja/" TargetMode="External"/><Relationship Id="rId22" Type="http://schemas.openxmlformats.org/officeDocument/2006/relationships/hyperlink" Target="https://www.gem.wiki/Dragon_Gas_Field_(Venezuela)" TargetMode="External"/><Relationship Id="rId27" Type="http://schemas.openxmlformats.org/officeDocument/2006/relationships/hyperlink" Target="https://cnnespanol.cnn.com/2026/02/03/" TargetMode="External"/><Relationship Id="rId30" Type="http://schemas.openxmlformats.org/officeDocument/2006/relationships/hyperlink" Target="https://oilnow.gy/featured/china-debt-seen-as-major-hurdle-in-venezuelas-bid-to-restructure-us150b-liabilities-sp-global/" TargetMode="External"/><Relationship Id="rId35" Type="http://schemas.openxmlformats.org/officeDocument/2006/relationships/fontTable" Target="fontTable.xml"/><Relationship Id="rId8" Type="http://schemas.openxmlformats.org/officeDocument/2006/relationships/hyperlink" Target="https://www.eia.gov/todayinenergy/detail.php?id=655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17</Pages>
  <Words>6718</Words>
  <Characters>38296</Characters>
  <Application>Microsoft Office Word</Application>
  <DocSecurity>0</DocSecurity>
  <Lines>319</Lines>
  <Paragraphs>89</Paragraphs>
  <ScaleCrop>false</ScaleCrop>
  <HeadingPairs>
    <vt:vector size="2" baseType="variant">
      <vt:variant>
        <vt:lpstr>Título</vt:lpstr>
      </vt:variant>
      <vt:variant>
        <vt:i4>1</vt:i4>
      </vt:variant>
    </vt:vector>
  </HeadingPairs>
  <TitlesOfParts>
    <vt:vector size="1" baseType="lpstr">
      <vt:lpstr>AIST Intelligence Briefing — Venezuela Situación Estratégica Integral Oct 2026</vt:lpstr>
    </vt:vector>
  </TitlesOfParts>
  <Company/>
  <LinksUpToDate>false</LinksUpToDate>
  <CharactersWithSpaces>44925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AIST Intelligence Briefing — Venezuela Situación Estratégica Integral Oct 2026</dc:title>
  <dc:creator>AIST — Msc. Pedro Barrueco Perez</dc:creator>
  <dc:description>Análisis integral de Venezuela: energía, economía, transición política y riesgo de inversión</dc:description>
  <cp:lastModifiedBy>Pedro Barrueco Perez</cp:lastModifiedBy>
  <cp:revision>5</cp:revision>
  <dcterms:created xsi:type="dcterms:W3CDTF">2026-10-25T19:27:00Z</dcterms:created>
  <dcterms:modified xsi:type="dcterms:W3CDTF">2026-10-25T20:36:00Z</dcterms:modified>
</cp:coreProperties>
</file>